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淄博市周村区</w:t>
      </w:r>
      <w:r>
        <w:rPr>
          <w:rFonts w:hint="eastAsia" w:ascii="宋体" w:hAnsi="宋体" w:eastAsia="宋体" w:cs="宋体"/>
          <w:sz w:val="44"/>
          <w:szCs w:val="44"/>
        </w:rPr>
        <w:t>人民陪审员选任公告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根据《中华人民共和国人民陪审员法》和《人民陪审员选任办法》的规定，现就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淄博市周村区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年度人民陪审员选任事项公告如下。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选任名额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共选任人民陪审员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通过随机抽选方式选任人民陪审员名额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通过个人申请和组织推荐方式选任人民陪审员名额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选任条件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（一）担任人民陪审员应具备的条件：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1．拥护中华人民共和国宪法；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2．年满二十八周岁；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3．遵纪守法、品行良好、公道正派；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4．具有正常履行职责的身体条件；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担任人民陪审员，一般应当具有高中以上文化程度。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（二）下列人员不能担任人民陪审员：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1．人民代表大会常务委员会的组成人员，监察委员会、人民法院、人民检察院、公安机关、国家安全机关、司法行政机关的工作人员；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2．律师、公证员、仲裁员、基层法律服务工作者；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3．其他因职务原因不适宜担任人民陪审员的人员。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（三）有下列情形之一的，不得担任人民陪审员：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1．受过刑事处罚的；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2．被开除公职的；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3．被吊销律师、公证员职业证书的；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4．被纳入失信被执行人名单的；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5．因受惩戒被免除人民陪审员职务的；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6．其他有严重违法违纪行为，可能影响司法公信的。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选任程序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通过随机抽选、个人申请和组织推荐相结合的方式进行选任。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随机抽选由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从本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辖区（含北郊镇）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符合人民陪审员选任条件的常住居民名单中随机确定。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个人申请担任人民陪审员的，应当于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日之前向户籍地或工作地司法所提交身份证（流动人口需提供居住情况证明）、学历证明等书面材料以及本人近期一寸免冠照片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张和电子照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并填写《人民陪审员候选人申请表》。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也可通过扫描下方二维码报名。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组织推荐担任人民陪审员的，由被推荐人所在单位、所属居民委员会或者村民委员会、人民团体在征得本人同意后，于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日之前向推荐单位所在地司法所提交被推荐人简历、身份证（流动人口需提供居住情况证明）、学历证明等书面材料以及本人近期一寸免冠照片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张和电子照，并填写《人民陪审员候选人推荐表》。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资格审查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司法局会同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局，依照《中华人民共和国人民陪审员法》第五条、第六条、第七条、第十三条的规定进行资格审查。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五、提请任命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通过资格审查的人民陪审员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人民法院院长提请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人民代表大会常务委员会任命。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就职宣誓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陪审员经人民代表大会常务委员会任命后，应当公开进行就职宣誓。人民陪审员宣誓誓词为：我是中华人民共和国人民陪审员，我宣誓：忠于国家，忠于人民，忠于宪法和法律，依法参加审判活动，忠实履行审判职责，廉洁诚信，秉公判断，维护社会公平正义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人民陪审员依法代表人民参加人民法院的审判活动，这既是人民当家做主权利的具体体现，也是一项光荣的职责和义务，欢迎符合条件的公民踊跃报名参与。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6195105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6195960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（公告期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2018年12月10日-2019年1月8日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114300</wp:posOffset>
            </wp:positionV>
            <wp:extent cx="1804035" cy="1804035"/>
            <wp:effectExtent l="0" t="0" r="5715" b="5715"/>
            <wp:wrapNone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80" w:lineRule="exact"/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（个人申请报名）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周村区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淄博市公安局周村分局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480" w:firstLineChars="140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5C5"/>
    <w:multiLevelType w:val="singleLevel"/>
    <w:tmpl w:val="5B9E15C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64E98"/>
    <w:rsid w:val="003C496E"/>
    <w:rsid w:val="03964E98"/>
    <w:rsid w:val="0B716E00"/>
    <w:rsid w:val="0BCD037E"/>
    <w:rsid w:val="1D372E42"/>
    <w:rsid w:val="291D65A8"/>
    <w:rsid w:val="32740520"/>
    <w:rsid w:val="3AA85E8F"/>
    <w:rsid w:val="3F9F7C5F"/>
    <w:rsid w:val="407C14C7"/>
    <w:rsid w:val="52080DCF"/>
    <w:rsid w:val="57CB0738"/>
    <w:rsid w:val="58D23BB6"/>
    <w:rsid w:val="5B9C5C88"/>
    <w:rsid w:val="5FDD646D"/>
    <w:rsid w:val="6404722A"/>
    <w:rsid w:val="6B5B1AB2"/>
    <w:rsid w:val="6B5B65C2"/>
    <w:rsid w:val="6D535020"/>
    <w:rsid w:val="74C50C8B"/>
    <w:rsid w:val="7A9C0902"/>
    <w:rsid w:val="7C3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2018-12-06T01:32:00Z</dcterms:created>
  <dc:creator>小狗皮膏药</dc:creator>
  <cp:lastModifiedBy>小狗皮膏药</cp:lastModifiedBy>
  <cp:lastPrinted>2018-12-10T00:43:13Z</cp:lastPrinted>
  <dcterms:modified xsi:type="dcterms:W3CDTF">2018-12-10T01:58:45Z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