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0" w:lineRule="atLeast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sz w:val="44"/>
          <w:szCs w:val="44"/>
          <w:shd w:val="clear" w:color="auto" w:fill="FFFFFF"/>
        </w:rPr>
        <w:t>《</w:t>
      </w:r>
      <w:r>
        <w:rPr>
          <w:rFonts w:hint="eastAsia" w:ascii="宋体" w:hAnsi="宋体" w:cs="宋体" w:eastAsiaTheme="minorEastAsia"/>
          <w:b/>
          <w:bCs/>
          <w:sz w:val="44"/>
          <w:szCs w:val="44"/>
          <w:shd w:val="clear" w:color="auto" w:fill="FFFFFF"/>
          <w:lang w:val="en-US" w:eastAsia="zh-CN"/>
        </w:rPr>
        <w:t>淄博市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周村区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殡葬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设施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布局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专项规划（2</w:t>
      </w:r>
      <w:r>
        <w:rPr>
          <w:rFonts w:ascii="宋体" w:hAnsi="宋体" w:cs="宋体"/>
          <w:b/>
          <w:bCs/>
          <w:sz w:val="44"/>
          <w:szCs w:val="44"/>
          <w:shd w:val="clear" w:color="auto" w:fill="FFFFFF"/>
        </w:rPr>
        <w:t>022-2035年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）》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殡葬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服务政策要求，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加快推动我区民政事业高质量发展，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按市民政局工作部署，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结合我区实际情况，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区民政局组织编制了《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周村区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殡葬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布局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专项规划（2022-2035年）》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现将该规划在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周村区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人民政府网站进行公示，公示期为30日(202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日止)。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一、规划范围、期限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本次规划范围为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周村区全域范围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含淄博文昌湖省级旅游度假区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。其中，包括王村镇、南郊镇、北郊镇、萌水镇、商家镇5个乡镇和城北路、丝绸路、青年路、大街、永安街5个街道办事处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规划期限为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2022-2035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年，近期到2025年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远期到2035年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二、规划目标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覆盖城乡居民的公墓服务体系，维护逝者尊严，实现逝者安息、生者安心。强化公墓公益属性，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至2035年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实现区级-镇级-村级公益性殡葬设施服务范围全覆盖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引导节地生态葬，规划到2025年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全域节地生态安葬率达到60％以上，新建公墓和现有公墓中新开发的墓区节地生态安葬率达到100％，新建的墓穴式墓位全部使用卧碑。至2035年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，全域节地生态安葬率达到100％。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三、规划原则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1.合理布局，节约集约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虑与国土空间布局规划相适应，适当考虑服务半径、交通可达性等因素，对区镇村三级公益性公墓合理布局。积极引导，逐步过渡，将由传统幕穴葬为主的葬式演进为节地生态安葬，加强现有殡葬设施的复合利用，实现节约集约用地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2.绿色生态，移风易俗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“绿水青山就是金山银山”原则，深化移风易俗，大力推进殡葬改革，破除丧葬陋俗，积极倡导绿色生态理念，高品质、高质量推进公益性公墓建设。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3.统筹协调，适度超前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因地制宜，统筹各级公墓的容量，规模上适度超前，留足弹性。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4.以人为本，尊重民意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从实际出发，结合当地风俗习惯，稳步推进移风易俗的改革之路，力求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方便群众开展各项殡仪活动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，为当地居民提供优质、便捷、文明和多样化的殡葬服务。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四、规划布局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按照“区级一镇级一村级”三级公益性公墓配置体系，整合现有公益性公墓，统筹布局。区级公益性公墓的选址依据选址原则、现状公墓配置情况以及周村城区殡葬事业发展情况统筹考虑；镇级公益性公墓结合现状镇级公墓统筹布局；村级公益性公墓作为补充，覆盖基层行政村，灵活配置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规划周村区级公益性公墓2处，文昌湖区级公益性公墓1处，总用地面积约24.8公顷，墓穴数约14.5万穴。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规划镇级公益性公墓5处，总用地面积约12.53公顷，墓穴数约6.9万穴。规划新建南郊镇镇级公益性公墓，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北郊镇公益性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祠堂式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公墓现状保留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，其余各镇的镇级公益性公墓均在现状基础上进行改、扩建。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结合三区三线划定成果，公益性公墓选址原则等要求，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考虑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村级公益性公墓的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广泛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性，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对村级公益性公墓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针对性的采取改建、整治、搬迁等措施。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少数民族墓位，规划拟布置于周村区级公益性公墓内，划定少数民族墓区，规划600穴。每个少数民族墓位按照4平方米的标准执行。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公益性公墓建设标准，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墓穴按照单个墓穴不超过0.5平方米、双墓穴不超过0.8平方米、墓穴间距不大于60厘米、每亩单墓穴位不低于400个或双墓穴位不低于200个标准规划，墓碑采取卧碑方式，碑长不超过60厘米，碑宽不超过50厘米，厚度不超过15厘米，倾斜度不超过15度。骨灰堂、骨灰塔、壁葬等骨灰安放设施按照每个格位不超过0.25平方米标准规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五、规划实施保障措施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1.加强组织领导，强化党员干部带头作用；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2.理顺管理体制，加大殡葬事业投入；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3.强化宣传引导，营造殡葬改革良好氛围。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2I1ZTc5MDliYmQxMGI4Mjk0NjVjMjg1MWFmYzEifQ=="/>
  </w:docVars>
  <w:rsids>
    <w:rsidRoot w:val="00000000"/>
    <w:rsid w:val="061E1E2F"/>
    <w:rsid w:val="0D012734"/>
    <w:rsid w:val="13FE7191"/>
    <w:rsid w:val="20382E1A"/>
    <w:rsid w:val="29AC2083"/>
    <w:rsid w:val="2C5675C5"/>
    <w:rsid w:val="3F1267F5"/>
    <w:rsid w:val="513A3503"/>
    <w:rsid w:val="69BC7CB5"/>
    <w:rsid w:val="7BE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1445</Characters>
  <Lines>0</Lines>
  <Paragraphs>0</Paragraphs>
  <TotalTime>6</TotalTime>
  <ScaleCrop>false</ScaleCrop>
  <LinksUpToDate>false</LinksUpToDate>
  <CharactersWithSpaces>1445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2022-09-15T13:48:00Z</dcterms:created>
  <dc:creator>Administrator</dc:creator>
  <cp:lastModifiedBy>嗯啊</cp:lastModifiedBy>
  <dcterms:modified xsi:type="dcterms:W3CDTF">2023-03-16T02:47:25Z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4EFB44D3365945498D531DF24D89C192</vt:lpwstr>
  </property>
</Properties>
</file>