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华文中宋"/>
          <w:w w:val="52"/>
          <w:sz w:val="80"/>
        </w:rPr>
      </w:pPr>
    </w:p>
    <w:p>
      <w:pPr>
        <w:jc w:val="center"/>
        <w:rPr>
          <w:rFonts w:eastAsia="方正小标宋_GBK"/>
          <w:color w:val="FFFFFF"/>
          <w:spacing w:val="10"/>
          <w:w w:val="45"/>
          <w:sz w:val="144"/>
        </w:rPr>
      </w:pPr>
      <w:r>
        <w:rPr>
          <w:rFonts w:eastAsia="方正小标宋_GBK"/>
          <w:color w:val="FFFFFF"/>
          <w:spacing w:val="10"/>
          <w:w w:val="45"/>
          <w:sz w:val="144"/>
        </w:rPr>
        <w:t>淄博市周村区人民政府办公室</w:t>
      </w:r>
    </w:p>
    <w:p>
      <w:pPr>
        <w:rPr>
          <w:rFonts w:eastAsia="华文中宋"/>
          <w:sz w:val="32"/>
        </w:rPr>
      </w:pPr>
    </w:p>
    <w:p>
      <w:pPr>
        <w:pStyle w:val="17"/>
        <w:spacing w:line="600" w:lineRule="exact"/>
        <w:rPr>
          <w:rFonts w:ascii="Times New Roman" w:hAnsi="Times New Roman"/>
          <w:color w:val="FFFFFF"/>
          <w:spacing w:val="-74"/>
          <w:sz w:val="80"/>
        </w:rPr>
      </w:pPr>
      <w:r>
        <w:rPr>
          <w:rFonts w:ascii="Times New Roman" w:hAnsi="Times New Roman"/>
          <w:color w:val="FFFFFF"/>
          <w:spacing w:val="-74"/>
          <w:sz w:val="80"/>
        </w:rPr>
        <w:t>————————————</w:t>
      </w:r>
    </w:p>
    <w:p>
      <w:pPr>
        <w:pStyle w:val="17"/>
        <w:spacing w:line="600" w:lineRule="exact"/>
        <w:ind w:firstLine="608" w:firstLineChars="200"/>
        <w:jc w:val="both"/>
        <w:rPr>
          <w:rFonts w:ascii="Times New Roman" w:hAnsi="Times New Roman" w:eastAsia="仿宋_GB2312"/>
          <w:spacing w:val="-8"/>
          <w:sz w:val="32"/>
        </w:rPr>
      </w:pPr>
    </w:p>
    <w:p>
      <w:pPr>
        <w:spacing w:line="700" w:lineRule="exact"/>
        <w:jc w:val="center"/>
        <w:rPr>
          <w:rFonts w:eastAsia="方正小标宋简体"/>
          <w:sz w:val="44"/>
          <w:szCs w:val="44"/>
        </w:rPr>
      </w:pPr>
      <w:r>
        <w:rPr>
          <w:rFonts w:eastAsia="方正小标宋简体"/>
          <w:sz w:val="44"/>
          <w:szCs w:val="44"/>
        </w:rPr>
        <w:t>周村区人民政府办公室</w:t>
      </w:r>
    </w:p>
    <w:p>
      <w:pPr>
        <w:spacing w:line="700" w:lineRule="exact"/>
        <w:jc w:val="center"/>
        <w:rPr>
          <w:rFonts w:eastAsia="方正小标宋简体"/>
          <w:sz w:val="44"/>
          <w:szCs w:val="44"/>
        </w:rPr>
      </w:pPr>
      <w:r>
        <w:rPr>
          <w:rFonts w:eastAsia="方正小标宋简体"/>
          <w:sz w:val="44"/>
          <w:szCs w:val="44"/>
        </w:rPr>
        <w:t>关于印发周村区打好小清河流域水污染</w:t>
      </w:r>
    </w:p>
    <w:p>
      <w:pPr>
        <w:spacing w:line="700" w:lineRule="exact"/>
        <w:jc w:val="center"/>
        <w:rPr>
          <w:rFonts w:eastAsia="方正小标宋简体"/>
          <w:sz w:val="44"/>
          <w:szCs w:val="44"/>
        </w:rPr>
      </w:pPr>
      <w:r>
        <w:rPr>
          <w:rFonts w:eastAsia="方正小标宋简体"/>
          <w:sz w:val="44"/>
          <w:szCs w:val="44"/>
        </w:rPr>
        <w:t>防治攻坚战作战方案的通知</w:t>
      </w:r>
    </w:p>
    <w:p>
      <w:pPr>
        <w:spacing w:line="600" w:lineRule="exact"/>
        <w:jc w:val="center"/>
        <w:rPr>
          <w:rFonts w:eastAsia="仿宋_GB2312"/>
          <w:sz w:val="32"/>
        </w:rPr>
      </w:pPr>
      <w:r>
        <w:rPr>
          <w:rFonts w:eastAsia="仿宋_GB2312"/>
          <w:sz w:val="32"/>
        </w:rPr>
        <w:t>周政办字〔2019〕18号</w:t>
      </w:r>
    </w:p>
    <w:p>
      <w:pPr>
        <w:spacing w:line="580" w:lineRule="exact"/>
        <w:ind w:firstLine="640" w:firstLineChars="200"/>
        <w:rPr>
          <w:rFonts w:eastAsia="仿宋_GB2312"/>
          <w:sz w:val="32"/>
          <w:szCs w:val="32"/>
        </w:rPr>
      </w:pPr>
      <w:bookmarkStart w:id="1" w:name="_GoBack"/>
      <w:bookmarkEnd w:id="1"/>
    </w:p>
    <w:p>
      <w:pPr>
        <w:spacing w:line="580" w:lineRule="exact"/>
        <w:rPr>
          <w:rFonts w:eastAsia="仿宋_GB2312"/>
          <w:sz w:val="32"/>
          <w:szCs w:val="32"/>
        </w:rPr>
      </w:pPr>
      <w:r>
        <w:rPr>
          <w:rFonts w:eastAsia="仿宋_GB2312"/>
          <w:sz w:val="32"/>
          <w:szCs w:val="32"/>
        </w:rPr>
        <w:t>各</w:t>
      </w:r>
      <w:r>
        <w:rPr>
          <w:rFonts w:eastAsia="仿宋_GB2312"/>
          <w:spacing w:val="-6"/>
          <w:sz w:val="32"/>
          <w:szCs w:val="32"/>
        </w:rPr>
        <w:t>镇政府、街道办事处，周村经济开发区管委会，区政府有关部门，</w:t>
      </w:r>
      <w:r>
        <w:rPr>
          <w:rFonts w:eastAsia="仿宋_GB2312"/>
          <w:sz w:val="32"/>
          <w:szCs w:val="32"/>
        </w:rPr>
        <w:t>有关单位：</w:t>
      </w:r>
    </w:p>
    <w:p>
      <w:pPr>
        <w:tabs>
          <w:tab w:val="left" w:pos="9240"/>
          <w:tab w:val="left" w:pos="10080"/>
          <w:tab w:val="left" w:pos="12180"/>
        </w:tabs>
        <w:spacing w:line="580" w:lineRule="exact"/>
        <w:ind w:firstLine="640" w:firstLineChars="200"/>
        <w:rPr>
          <w:rFonts w:eastAsia="仿宋_GB2312"/>
          <w:sz w:val="32"/>
          <w:szCs w:val="32"/>
        </w:rPr>
      </w:pPr>
      <w:r>
        <w:rPr>
          <w:rFonts w:eastAsia="仿宋_GB2312"/>
          <w:sz w:val="32"/>
          <w:szCs w:val="32"/>
        </w:rPr>
        <w:t>《周村区打好小清河流域水污染防治攻坚战作战方案》已经区政府同意，现印发给你们，请认真组织实施。</w:t>
      </w:r>
    </w:p>
    <w:p>
      <w:pPr>
        <w:tabs>
          <w:tab w:val="left" w:pos="9240"/>
          <w:tab w:val="left" w:pos="10080"/>
          <w:tab w:val="left" w:pos="12180"/>
        </w:tabs>
        <w:spacing w:line="720" w:lineRule="exact"/>
        <w:ind w:firstLine="640" w:firstLineChars="200"/>
        <w:rPr>
          <w:rFonts w:eastAsia="仿宋_GB2312"/>
          <w:sz w:val="32"/>
          <w:szCs w:val="32"/>
        </w:rPr>
      </w:pPr>
    </w:p>
    <w:p>
      <w:pPr>
        <w:tabs>
          <w:tab w:val="left" w:pos="9240"/>
          <w:tab w:val="left" w:pos="10080"/>
          <w:tab w:val="left" w:pos="12180"/>
        </w:tabs>
        <w:spacing w:line="720" w:lineRule="exact"/>
        <w:ind w:firstLine="640" w:firstLineChars="200"/>
        <w:rPr>
          <w:rFonts w:eastAsia="仿宋_GB2312"/>
          <w:sz w:val="32"/>
          <w:szCs w:val="32"/>
        </w:rPr>
      </w:pPr>
    </w:p>
    <w:p>
      <w:pPr>
        <w:tabs>
          <w:tab w:val="left" w:pos="7560"/>
          <w:tab w:val="left" w:pos="8820"/>
          <w:tab w:val="left" w:pos="9240"/>
          <w:tab w:val="left" w:pos="10080"/>
          <w:tab w:val="left" w:pos="12180"/>
        </w:tabs>
        <w:spacing w:line="560" w:lineRule="exact"/>
        <w:ind w:right="850" w:rightChars="405" w:firstLine="640" w:firstLineChars="200"/>
        <w:jc w:val="right"/>
        <w:rPr>
          <w:rFonts w:eastAsia="仿宋_GB2312"/>
          <w:sz w:val="32"/>
          <w:szCs w:val="32"/>
        </w:rPr>
      </w:pPr>
      <w:r>
        <w:rPr>
          <w:rFonts w:eastAsia="仿宋_GB2312"/>
          <w:sz w:val="32"/>
          <w:szCs w:val="32"/>
        </w:rPr>
        <w:t>周村区人民政府办公室</w:t>
      </w:r>
    </w:p>
    <w:p>
      <w:pPr>
        <w:tabs>
          <w:tab w:val="left" w:pos="7727"/>
          <w:tab w:val="left" w:pos="7770"/>
        </w:tabs>
        <w:spacing w:line="560" w:lineRule="exact"/>
        <w:ind w:right="1178" w:rightChars="561" w:firstLine="640" w:firstLineChars="200"/>
        <w:jc w:val="right"/>
        <w:rPr>
          <w:rFonts w:eastAsia="仿宋_GB2312"/>
          <w:sz w:val="32"/>
          <w:szCs w:val="32"/>
        </w:rPr>
      </w:pPr>
      <w:r>
        <w:rPr>
          <w:rFonts w:eastAsia="仿宋_GB2312"/>
          <w:sz w:val="32"/>
          <w:szCs w:val="32"/>
        </w:rPr>
        <w:t>2019年4月20日</w:t>
      </w:r>
    </w:p>
    <w:p>
      <w:pPr>
        <w:spacing w:line="580" w:lineRule="exact"/>
        <w:ind w:firstLine="880" w:firstLineChars="200"/>
        <w:jc w:val="left"/>
        <w:rPr>
          <w:rFonts w:eastAsia="方正小标宋简体"/>
          <w:color w:val="000000"/>
          <w:sz w:val="44"/>
          <w:szCs w:val="44"/>
        </w:rPr>
        <w:sectPr>
          <w:headerReference r:id="rId3" w:type="default"/>
          <w:footerReference r:id="rId4" w:type="default"/>
          <w:footerReference r:id="rId5" w:type="even"/>
          <w:pgSz w:w="11907" w:h="16840"/>
          <w:pgMar w:top="2036" w:right="1531" w:bottom="1701" w:left="1531" w:header="851" w:footer="1366" w:gutter="0"/>
          <w:cols w:space="425" w:num="1"/>
          <w:docGrid w:linePitch="312" w:charSpace="0"/>
        </w:sectPr>
      </w:pPr>
    </w:p>
    <w:p>
      <w:pPr>
        <w:snapToGrid w:val="0"/>
        <w:spacing w:line="700" w:lineRule="exact"/>
        <w:jc w:val="center"/>
        <w:rPr>
          <w:rFonts w:eastAsia="方正小标宋简体"/>
          <w:sz w:val="44"/>
          <w:szCs w:val="44"/>
        </w:rPr>
      </w:pPr>
      <w:r>
        <w:rPr>
          <w:rFonts w:eastAsia="方正小标宋简体"/>
          <w:sz w:val="44"/>
          <w:szCs w:val="44"/>
        </w:rPr>
        <w:t>周村区打好小清河流域水污染防治</w:t>
      </w:r>
    </w:p>
    <w:p>
      <w:pPr>
        <w:snapToGrid w:val="0"/>
        <w:spacing w:line="700" w:lineRule="exact"/>
        <w:jc w:val="center"/>
        <w:rPr>
          <w:rFonts w:eastAsia="方正小标宋简体"/>
          <w:sz w:val="44"/>
          <w:szCs w:val="44"/>
        </w:rPr>
      </w:pPr>
      <w:r>
        <w:rPr>
          <w:rFonts w:eastAsia="方正小标宋简体"/>
          <w:sz w:val="44"/>
          <w:szCs w:val="44"/>
        </w:rPr>
        <w:t>攻坚战作战方案</w:t>
      </w:r>
    </w:p>
    <w:p>
      <w:pPr>
        <w:snapToGrid w:val="0"/>
        <w:spacing w:line="580" w:lineRule="exact"/>
        <w:ind w:firstLine="880" w:firstLineChars="200"/>
        <w:rPr>
          <w:rFonts w:eastAsia="方正小标宋简体"/>
          <w:sz w:val="44"/>
          <w:szCs w:val="44"/>
        </w:rPr>
      </w:pPr>
    </w:p>
    <w:p>
      <w:pPr>
        <w:spacing w:line="580" w:lineRule="exact"/>
        <w:ind w:firstLine="640" w:firstLineChars="200"/>
        <w:rPr>
          <w:rFonts w:eastAsia="仿宋_GB2312"/>
          <w:sz w:val="32"/>
          <w:szCs w:val="32"/>
        </w:rPr>
      </w:pPr>
      <w:r>
        <w:rPr>
          <w:rFonts w:eastAsia="仿宋_GB2312"/>
          <w:sz w:val="32"/>
          <w:szCs w:val="32"/>
        </w:rPr>
        <w:t>为进一步加强全区主要河流水污染防治工作，保障河流水质达标，根据《山东省打好渤海区域环境综合治理攻坚战作战方案》及《淄博市打好小清河流域及沂河水污染防治攻坚战作战方案》的要求，结合我区实际，制定如下工作方案。</w:t>
      </w:r>
    </w:p>
    <w:p>
      <w:pPr>
        <w:spacing w:line="580" w:lineRule="exact"/>
        <w:ind w:firstLine="640" w:firstLineChars="200"/>
        <w:rPr>
          <w:rFonts w:eastAsia="黑体"/>
          <w:color w:val="000000"/>
          <w:sz w:val="32"/>
          <w:szCs w:val="32"/>
        </w:rPr>
      </w:pPr>
      <w:r>
        <w:rPr>
          <w:rFonts w:eastAsia="黑体"/>
          <w:color w:val="000000"/>
          <w:sz w:val="32"/>
          <w:szCs w:val="32"/>
        </w:rPr>
        <w:t>一、主要问题</w:t>
      </w:r>
    </w:p>
    <w:p>
      <w:pPr>
        <w:spacing w:line="580" w:lineRule="exact"/>
        <w:ind w:firstLine="640" w:firstLineChars="200"/>
        <w:rPr>
          <w:rFonts w:eastAsia="仿宋_GB2312"/>
          <w:sz w:val="32"/>
          <w:szCs w:val="32"/>
        </w:rPr>
      </w:pPr>
      <w:r>
        <w:rPr>
          <w:rFonts w:eastAsia="楷体_GB2312"/>
          <w:color w:val="000000"/>
          <w:sz w:val="32"/>
          <w:szCs w:val="32"/>
        </w:rPr>
        <w:t>（一）主要河流环境容量不足。</w:t>
      </w:r>
      <w:r>
        <w:rPr>
          <w:rFonts w:eastAsia="仿宋_GB2312"/>
          <w:sz w:val="32"/>
          <w:szCs w:val="32"/>
        </w:rPr>
        <w:t>我区主要河流均为雨源性河流，无生态补水，河流补水主要为城镇污水处理厂，污染源排放标准远低于环境质量标准要求，河流环境容量不足，主要河流达标形势严峻。</w:t>
      </w:r>
    </w:p>
    <w:p>
      <w:pPr>
        <w:spacing w:line="580" w:lineRule="exact"/>
        <w:ind w:firstLine="640" w:firstLineChars="200"/>
        <w:rPr>
          <w:rFonts w:eastAsia="仿宋_GB2312"/>
          <w:sz w:val="32"/>
          <w:szCs w:val="32"/>
        </w:rPr>
      </w:pPr>
      <w:r>
        <w:rPr>
          <w:rFonts w:eastAsia="楷体_GB2312"/>
          <w:color w:val="000000"/>
          <w:sz w:val="32"/>
          <w:szCs w:val="32"/>
        </w:rPr>
        <w:t>（二）水环境安全风险较大。</w:t>
      </w:r>
      <w:r>
        <w:rPr>
          <w:rFonts w:eastAsia="仿宋_GB2312"/>
          <w:sz w:val="32"/>
          <w:szCs w:val="32"/>
        </w:rPr>
        <w:t>全区化工企业众多，环境风险隐患大，城镇污水处理厂受高浓废水冲击影响稳定运行，污水处理厂和污水管网超负荷运行现象偶有发生，农业面源污染治理水平距离环境保护要求仍有差距，孝妇河袁家桥及309范阳河桥断面水质不能稳定达标。</w:t>
      </w:r>
    </w:p>
    <w:p>
      <w:pPr>
        <w:spacing w:line="580" w:lineRule="exact"/>
        <w:ind w:firstLine="640" w:firstLineChars="200"/>
        <w:rPr>
          <w:rFonts w:eastAsia="仿宋_GB2312"/>
          <w:sz w:val="32"/>
          <w:szCs w:val="32"/>
        </w:rPr>
      </w:pPr>
      <w:r>
        <w:rPr>
          <w:rFonts w:eastAsia="楷体_GB2312"/>
          <w:color w:val="000000"/>
          <w:sz w:val="32"/>
          <w:szCs w:val="32"/>
        </w:rPr>
        <w:t>（三）城镇、农村污水基础设施建设滞后，管理机制不完善。</w:t>
      </w:r>
      <w:r>
        <w:rPr>
          <w:rFonts w:eastAsia="仿宋_GB2312"/>
          <w:sz w:val="32"/>
          <w:szCs w:val="32"/>
        </w:rPr>
        <w:t>部分区域污水处理能力不足，污水管网不配套，污水收集率有待进一步提高，雨污合流管网未完成分流改造，污水管网运行维护长效管理机制有待进一步完善。农村污水收集处理设施存在能力不足和重建轻管问题。</w:t>
      </w:r>
    </w:p>
    <w:p>
      <w:pPr>
        <w:spacing w:line="580" w:lineRule="exact"/>
        <w:ind w:firstLine="640" w:firstLineChars="200"/>
        <w:rPr>
          <w:rFonts w:eastAsia="黑体"/>
          <w:color w:val="000000"/>
          <w:sz w:val="32"/>
          <w:szCs w:val="32"/>
        </w:rPr>
      </w:pPr>
      <w:r>
        <w:rPr>
          <w:rFonts w:eastAsia="黑体"/>
          <w:color w:val="000000"/>
          <w:sz w:val="32"/>
          <w:szCs w:val="32"/>
        </w:rPr>
        <w:t>二、指导思想</w:t>
      </w:r>
    </w:p>
    <w:p>
      <w:pPr>
        <w:pStyle w:val="84"/>
        <w:spacing w:line="580" w:lineRule="exact"/>
        <w:ind w:firstLine="640"/>
        <w:rPr>
          <w:rFonts w:ascii="Times New Roman" w:hAnsi="Times New Roman"/>
          <w:szCs w:val="32"/>
        </w:rPr>
      </w:pPr>
      <w:r>
        <w:rPr>
          <w:rFonts w:ascii="Times New Roman" w:hAnsi="Times New Roman"/>
          <w:szCs w:val="32"/>
        </w:rPr>
        <w:t>深入学习贯彻习近平新时代中国特色社会主义思想和党的十九大精神，认真践行习近平生态文明思想，以改善和保障主要河流环境质量达标为工作导向，全面提升工业企业、城镇生活及农业面源污染治理水平，加快完善城市和村镇污水处理基础设施，逐步解决污水溢流问题，对主要河流、湖泊大力实施生态修复，提升河流环境容量，建立联防联控污染防治大格局，加强监测监控能力建设，提升污染源和河流水质环境监管和应急等管理水平，全力打好渤海污染防治攻坚战。</w:t>
      </w:r>
    </w:p>
    <w:p>
      <w:pPr>
        <w:spacing w:line="580" w:lineRule="exact"/>
        <w:ind w:firstLine="640" w:firstLineChars="200"/>
        <w:rPr>
          <w:rFonts w:eastAsia="黑体"/>
          <w:color w:val="000000"/>
          <w:sz w:val="32"/>
          <w:szCs w:val="32"/>
        </w:rPr>
      </w:pPr>
      <w:r>
        <w:rPr>
          <w:rFonts w:eastAsia="黑体"/>
          <w:color w:val="000000"/>
          <w:sz w:val="32"/>
          <w:szCs w:val="32"/>
        </w:rPr>
        <w:t>三、重点任务</w:t>
      </w:r>
    </w:p>
    <w:p>
      <w:pPr>
        <w:spacing w:line="580" w:lineRule="exact"/>
        <w:ind w:firstLine="640" w:firstLineChars="200"/>
        <w:rPr>
          <w:rFonts w:eastAsia="楷体_GB2312"/>
          <w:color w:val="000000"/>
          <w:sz w:val="32"/>
          <w:szCs w:val="32"/>
        </w:rPr>
      </w:pPr>
      <w:r>
        <w:rPr>
          <w:rFonts w:eastAsia="楷体_GB2312"/>
          <w:color w:val="000000"/>
          <w:sz w:val="32"/>
          <w:szCs w:val="32"/>
        </w:rPr>
        <w:t>（一）实施工业污染源深度治理，实现全面达标排放。</w:t>
      </w:r>
    </w:p>
    <w:p>
      <w:pPr>
        <w:spacing w:line="580" w:lineRule="exact"/>
        <w:ind w:firstLine="640" w:firstLineChars="200"/>
        <w:rPr>
          <w:rFonts w:eastAsia="仿宋_GB2312"/>
          <w:sz w:val="32"/>
          <w:szCs w:val="32"/>
        </w:rPr>
      </w:pPr>
      <w:r>
        <w:rPr>
          <w:rFonts w:eastAsia="仿宋_GB2312"/>
          <w:color w:val="000000"/>
          <w:sz w:val="32"/>
          <w:szCs w:val="32"/>
        </w:rPr>
        <w:t>1．严格环境准入。</w:t>
      </w:r>
      <w:r>
        <w:rPr>
          <w:rFonts w:eastAsia="仿宋_GB2312"/>
          <w:sz w:val="32"/>
          <w:szCs w:val="32"/>
        </w:rPr>
        <w:t>严格执行省政府确定的禁止和限制发展的涉水行业、生产工艺和产业目录，对目录内项目禁止和限制审批。完成“三线一单”编制，严格执行环境影响评价制度，推动高质量发展和绿色发展。依法开展重点区域、重点行业和产业布局的规划环评，调整优化不符合生态环境功能定位的产业布局。</w:t>
      </w:r>
      <w:r>
        <w:rPr>
          <w:rFonts w:eastAsia="楷体_GB2312"/>
          <w:color w:val="000000"/>
          <w:sz w:val="32"/>
          <w:szCs w:val="32"/>
        </w:rPr>
        <w:t>（区生态环境分局、区发改局、区工信局、区自然资源局、区水利局牵头，各镇政府、街道办事处配合落实，以下攻坚任务均需各镇（街道）负责落实，不再列出）</w:t>
      </w:r>
    </w:p>
    <w:p>
      <w:pPr>
        <w:spacing w:line="580" w:lineRule="exact"/>
        <w:ind w:firstLine="640" w:firstLineChars="200"/>
        <w:rPr>
          <w:rFonts w:eastAsia="仿宋_GB2312"/>
          <w:sz w:val="32"/>
          <w:szCs w:val="32"/>
        </w:rPr>
      </w:pPr>
      <w:r>
        <w:rPr>
          <w:rFonts w:eastAsia="仿宋_GB2312"/>
          <w:color w:val="000000"/>
          <w:sz w:val="32"/>
          <w:szCs w:val="32"/>
        </w:rPr>
        <w:t>2．实施工业点源提标改造，提升污染防治水平。</w:t>
      </w:r>
      <w:r>
        <w:rPr>
          <w:rFonts w:eastAsia="仿宋_GB2312"/>
          <w:sz w:val="32"/>
          <w:szCs w:val="32"/>
        </w:rPr>
        <w:t>自3月10日起，全区直排企业和城镇污水处理厂严格执行山东省新颁布的小清河、沂沭河流域水污染物综合排放标准。实施废水处理设施提标改造，加强含氟化物、高盐废水和含重金属污染物废水的深度治理和环境监管，实施化工、造纸等行业废水深度治理，确保工业污染源全面达标排放。</w:t>
      </w:r>
      <w:r>
        <w:rPr>
          <w:rFonts w:eastAsia="楷体_GB2312"/>
          <w:color w:val="000000"/>
          <w:sz w:val="32"/>
          <w:szCs w:val="32"/>
        </w:rPr>
        <w:t>（区生态环境分局牵头）</w:t>
      </w:r>
    </w:p>
    <w:p>
      <w:pPr>
        <w:spacing w:line="580" w:lineRule="exact"/>
        <w:ind w:firstLine="640" w:firstLineChars="200"/>
        <w:rPr>
          <w:rFonts w:eastAsia="仿宋_GB2312"/>
          <w:sz w:val="32"/>
          <w:szCs w:val="32"/>
        </w:rPr>
      </w:pPr>
      <w:r>
        <w:rPr>
          <w:rFonts w:eastAsia="仿宋_GB2312"/>
          <w:color w:val="000000"/>
          <w:sz w:val="32"/>
          <w:szCs w:val="32"/>
        </w:rPr>
        <w:t>3．强化纳管企业环境监管和污染治理。</w:t>
      </w:r>
      <w:r>
        <w:rPr>
          <w:rFonts w:eastAsia="仿宋_GB2312"/>
          <w:sz w:val="32"/>
          <w:szCs w:val="32"/>
        </w:rPr>
        <w:t>严格落实城镇污水排入排水管网许可管理办法，建立完善排水档案，重点排水单位排放口建成水质、水量检测设施，并与生态环境部门、城市管理部门联网，重点排水单位由市生态环境部门会同有关部门确定并予以公布。加强纳管企业污水预处理设施监管，确保达到纳管排放要求，有行业标准的执行行业标准，没有行业标准的一律执行《污水排入城镇下水道水质标准》。对氟化物和全盐量等城镇污水处理厂无去除能力的指标，纳管企业废水排放标准可参照执行直排企业废水排放标准，对影响集中污水处理设施出水稳定达标的纳管企业要限期退出。新建工业企业排放的含重金属、难以生化降解污染物或高盐废水，不得接入城市生活污水处理设施。</w:t>
      </w:r>
      <w:r>
        <w:rPr>
          <w:rFonts w:eastAsia="楷体_GB2312"/>
          <w:color w:val="000000"/>
          <w:sz w:val="32"/>
          <w:szCs w:val="32"/>
        </w:rPr>
        <w:t>（区生态环境分局、区住建局牵头）</w:t>
      </w:r>
    </w:p>
    <w:p>
      <w:pPr>
        <w:spacing w:line="580" w:lineRule="exact"/>
        <w:ind w:firstLine="640" w:firstLineChars="200"/>
        <w:rPr>
          <w:rFonts w:eastAsia="仿宋_GB2312"/>
          <w:sz w:val="32"/>
          <w:szCs w:val="32"/>
        </w:rPr>
      </w:pPr>
      <w:r>
        <w:rPr>
          <w:rFonts w:eastAsia="仿宋_GB2312"/>
          <w:color w:val="000000"/>
          <w:sz w:val="32"/>
          <w:szCs w:val="32"/>
        </w:rPr>
        <w:t>4．加强工业集聚区水污染防治。</w:t>
      </w:r>
      <w:r>
        <w:rPr>
          <w:rFonts w:eastAsia="仿宋_GB2312"/>
          <w:sz w:val="32"/>
          <w:szCs w:val="32"/>
        </w:rPr>
        <w:t>建立完善环境管理档案，逐步实现“一园一档”，新建工业集聚区污水集中处理设施和在线监控设施应与集聚区同步规划、同步建设、同步投入运行。化工园区、涉重金属工业园区要推进“一企一管”和地上管廊的建设与改造，并逐步推行废水分类收集、分质处理</w:t>
      </w:r>
      <w:r>
        <w:rPr>
          <w:rFonts w:eastAsia="楷体_GB2312"/>
          <w:color w:val="000000"/>
          <w:sz w:val="32"/>
          <w:szCs w:val="32"/>
        </w:rPr>
        <w:t>。（区生态环境分局、区工信局牵头）</w:t>
      </w:r>
    </w:p>
    <w:p>
      <w:pPr>
        <w:spacing w:line="580" w:lineRule="exact"/>
        <w:ind w:firstLine="640" w:firstLineChars="200"/>
        <w:rPr>
          <w:rFonts w:eastAsia="仿宋_GB2312"/>
          <w:sz w:val="32"/>
          <w:szCs w:val="32"/>
        </w:rPr>
      </w:pPr>
      <w:r>
        <w:rPr>
          <w:rFonts w:eastAsia="仿宋_GB2312"/>
          <w:color w:val="000000"/>
          <w:sz w:val="32"/>
          <w:szCs w:val="32"/>
        </w:rPr>
        <w:t>5．实施重点污染物总量控制。</w:t>
      </w:r>
      <w:r>
        <w:rPr>
          <w:rFonts w:eastAsia="仿宋_GB2312"/>
          <w:sz w:val="32"/>
          <w:szCs w:val="32"/>
        </w:rPr>
        <w:t>按照国家固定污染源总氮总磷污染防治要求，推进涉氮磷重点行业固定污染源治理，实行依法持证排污，严格控制并逐步削减重点行业总氮总磷排放总量。2019年3月底前，完成重点企业总氮总磷在线设施安装和联网工作，2019年年底前，完成污染源总氮总磷超标整治，实现达标排放，2020年年底前，完成覆盖所有污染源的排污许可证核发工作，并达到国家总氮总磷总量控制要求。</w:t>
      </w:r>
      <w:r>
        <w:rPr>
          <w:rFonts w:eastAsia="楷体_GB2312"/>
          <w:color w:val="000000"/>
          <w:sz w:val="32"/>
          <w:szCs w:val="32"/>
        </w:rPr>
        <w:t>（区生态环境分局牵头）</w:t>
      </w:r>
    </w:p>
    <w:p>
      <w:pPr>
        <w:spacing w:line="580" w:lineRule="exact"/>
        <w:ind w:firstLine="640" w:firstLineChars="200"/>
        <w:rPr>
          <w:rFonts w:eastAsia="仿宋_GB2312"/>
          <w:sz w:val="32"/>
          <w:szCs w:val="32"/>
        </w:rPr>
      </w:pPr>
      <w:r>
        <w:rPr>
          <w:rFonts w:eastAsia="仿宋_GB2312"/>
          <w:color w:val="000000"/>
          <w:sz w:val="32"/>
          <w:szCs w:val="32"/>
        </w:rPr>
        <w:t>6．加快“散乱污”企业清理整治。</w:t>
      </w:r>
      <w:r>
        <w:rPr>
          <w:rFonts w:eastAsia="仿宋_GB2312"/>
          <w:sz w:val="32"/>
          <w:szCs w:val="32"/>
        </w:rPr>
        <w:t>依法淘汰《产业结构调整指导目录》中属于淘汰类的生产工艺装备或生产落后产品的装置，持续加强监管，防止新发现问题。</w:t>
      </w:r>
      <w:r>
        <w:rPr>
          <w:rFonts w:eastAsia="楷体_GB2312"/>
          <w:color w:val="000000"/>
          <w:sz w:val="32"/>
          <w:szCs w:val="32"/>
        </w:rPr>
        <w:t>（区生态环境分局、区工信局牵头）</w:t>
      </w:r>
    </w:p>
    <w:p>
      <w:pPr>
        <w:spacing w:line="580" w:lineRule="exact"/>
        <w:ind w:firstLine="640" w:firstLineChars="200"/>
        <w:rPr>
          <w:rFonts w:eastAsia="楷体_GB2312"/>
          <w:color w:val="000000"/>
          <w:sz w:val="32"/>
          <w:szCs w:val="32"/>
        </w:rPr>
      </w:pPr>
      <w:bookmarkStart w:id="0" w:name="_Toc514100867"/>
      <w:r>
        <w:rPr>
          <w:rFonts w:eastAsia="楷体_GB2312"/>
          <w:color w:val="000000"/>
          <w:sz w:val="32"/>
          <w:szCs w:val="32"/>
        </w:rPr>
        <w:t>（二）全面提升城镇生活污染防治</w:t>
      </w:r>
      <w:bookmarkEnd w:id="0"/>
      <w:r>
        <w:rPr>
          <w:rFonts w:eastAsia="楷体_GB2312"/>
          <w:color w:val="000000"/>
          <w:sz w:val="32"/>
          <w:szCs w:val="32"/>
        </w:rPr>
        <w:t>基础设施建设水平</w:t>
      </w:r>
    </w:p>
    <w:p>
      <w:pPr>
        <w:spacing w:line="580" w:lineRule="exact"/>
        <w:ind w:firstLine="640" w:firstLineChars="200"/>
        <w:rPr>
          <w:rFonts w:eastAsia="仿宋_GB2312"/>
          <w:sz w:val="32"/>
          <w:szCs w:val="32"/>
        </w:rPr>
      </w:pPr>
      <w:r>
        <w:rPr>
          <w:rFonts w:eastAsia="仿宋_GB2312"/>
          <w:color w:val="000000"/>
          <w:sz w:val="32"/>
          <w:szCs w:val="32"/>
        </w:rPr>
        <w:t>1．加强城镇污水处理设施建设。</w:t>
      </w:r>
      <w:r>
        <w:rPr>
          <w:rFonts w:eastAsia="仿宋_GB2312"/>
          <w:sz w:val="32"/>
          <w:szCs w:val="32"/>
        </w:rPr>
        <w:t>到2020年，城市污水处理率达到98%以上，建制镇污水处理率达到70%以上，实现所有建制镇建有污水处理设施</w:t>
      </w:r>
      <w:r>
        <w:rPr>
          <w:rFonts w:eastAsia="楷体_GB2312"/>
          <w:color w:val="000000"/>
          <w:sz w:val="32"/>
          <w:szCs w:val="32"/>
        </w:rPr>
        <w:t>（区住建局、区水利局牵头）。</w:t>
      </w:r>
      <w:r>
        <w:rPr>
          <w:rFonts w:eastAsia="仿宋_GB2312"/>
          <w:sz w:val="32"/>
          <w:szCs w:val="32"/>
        </w:rPr>
        <w:t>城镇污水处理厂在检修期和突发事故状态情况下，要建立上游排水企业停产限产机制，减少污水直排对水体的影响。</w:t>
      </w:r>
      <w:r>
        <w:rPr>
          <w:rFonts w:eastAsia="楷体_GB2312"/>
          <w:color w:val="000000"/>
          <w:sz w:val="32"/>
          <w:szCs w:val="32"/>
        </w:rPr>
        <w:t>（区住建局、区生态环境分局牵头）</w:t>
      </w:r>
    </w:p>
    <w:p>
      <w:pPr>
        <w:spacing w:line="580" w:lineRule="exact"/>
        <w:ind w:firstLine="640" w:firstLineChars="200"/>
        <w:rPr>
          <w:rFonts w:eastAsia="仿宋_GB2312"/>
          <w:sz w:val="32"/>
          <w:szCs w:val="32"/>
        </w:rPr>
      </w:pPr>
      <w:r>
        <w:rPr>
          <w:rFonts w:eastAsia="仿宋_GB2312"/>
          <w:sz w:val="32"/>
          <w:szCs w:val="32"/>
        </w:rPr>
        <w:t>2．加快实施雨污管网建设改造。加快实施城中村、老旧城区、城乡结合部污水收集和雨污管网分流改造，“十三五”期间，完成65.34公里雨污合流制管网改造任务，基本实现城市建成区污水全收集、全处理。不具备管网雨污分流改造条件的区域，应采取增加截留倍数、调蓄等措施防止污水外溢。</w:t>
      </w:r>
      <w:r>
        <w:rPr>
          <w:rFonts w:eastAsia="楷体_GB2312"/>
          <w:color w:val="000000"/>
          <w:sz w:val="32"/>
          <w:szCs w:val="32"/>
        </w:rPr>
        <w:t>（区住建局牵头）</w:t>
      </w:r>
    </w:p>
    <w:p>
      <w:pPr>
        <w:spacing w:line="580" w:lineRule="exact"/>
        <w:ind w:firstLine="640" w:firstLineChars="200"/>
        <w:rPr>
          <w:rFonts w:eastAsia="仿宋_GB2312"/>
          <w:sz w:val="32"/>
          <w:szCs w:val="32"/>
        </w:rPr>
      </w:pPr>
      <w:r>
        <w:rPr>
          <w:rFonts w:eastAsia="仿宋_GB2312"/>
          <w:color w:val="000000"/>
          <w:sz w:val="32"/>
          <w:szCs w:val="32"/>
        </w:rPr>
        <w:t>3．推进污泥安全处置。</w:t>
      </w:r>
      <w:r>
        <w:rPr>
          <w:rFonts w:eastAsia="仿宋_GB2312"/>
          <w:sz w:val="32"/>
          <w:szCs w:val="32"/>
        </w:rPr>
        <w:t>“十三五”期间，城市污水处理厂污泥无害化处置率分别达到90%以上。</w:t>
      </w:r>
      <w:r>
        <w:rPr>
          <w:rFonts w:eastAsia="楷体_GB2312"/>
          <w:color w:val="000000"/>
          <w:sz w:val="32"/>
          <w:szCs w:val="32"/>
        </w:rPr>
        <w:t>（区住建局牵头）</w:t>
      </w:r>
    </w:p>
    <w:p>
      <w:pPr>
        <w:spacing w:line="580" w:lineRule="exact"/>
        <w:ind w:firstLine="640" w:firstLineChars="200"/>
        <w:rPr>
          <w:rFonts w:eastAsia="仿宋_GB2312"/>
          <w:sz w:val="32"/>
          <w:szCs w:val="32"/>
        </w:rPr>
      </w:pPr>
      <w:r>
        <w:rPr>
          <w:rFonts w:eastAsia="仿宋_GB2312"/>
          <w:color w:val="000000"/>
          <w:sz w:val="32"/>
          <w:szCs w:val="32"/>
        </w:rPr>
        <w:t>4．加强人工湿地工程建设。</w:t>
      </w:r>
      <w:r>
        <w:rPr>
          <w:rFonts w:eastAsia="仿宋_GB2312"/>
          <w:sz w:val="32"/>
          <w:szCs w:val="32"/>
        </w:rPr>
        <w:t>在主要河流支流入干流处、重点入河排污口下游建设人工湿地水质净化工程，进一步改善入河水质，保障河流断面达标。鼓励农村因地制宜建设人工湿地、氧化塘净化水质。加强人工湿地的运行维护管理，在人工湿地进、出口安装水质在线监测设施。</w:t>
      </w:r>
      <w:r>
        <w:rPr>
          <w:rFonts w:eastAsia="楷体_GB2312"/>
          <w:color w:val="000000"/>
          <w:sz w:val="32"/>
          <w:szCs w:val="32"/>
        </w:rPr>
        <w:t>（区生态环境分局牵头）</w:t>
      </w:r>
    </w:p>
    <w:p>
      <w:pPr>
        <w:spacing w:line="580" w:lineRule="exact"/>
        <w:ind w:firstLine="640" w:firstLineChars="200"/>
        <w:rPr>
          <w:rFonts w:eastAsia="仿宋_GB2312"/>
          <w:color w:val="000000"/>
          <w:sz w:val="32"/>
          <w:szCs w:val="32"/>
        </w:rPr>
      </w:pPr>
      <w:r>
        <w:rPr>
          <w:rFonts w:eastAsia="楷体_GB2312"/>
          <w:color w:val="000000"/>
          <w:sz w:val="32"/>
          <w:szCs w:val="32"/>
        </w:rPr>
        <w:t>（三）加强农业农村污染防治</w:t>
      </w:r>
    </w:p>
    <w:p>
      <w:pPr>
        <w:spacing w:line="580" w:lineRule="exact"/>
        <w:ind w:firstLine="640" w:firstLineChars="200"/>
        <w:rPr>
          <w:rFonts w:eastAsia="仿宋_GB2312"/>
          <w:sz w:val="32"/>
          <w:szCs w:val="32"/>
        </w:rPr>
      </w:pPr>
      <w:r>
        <w:rPr>
          <w:rFonts w:eastAsia="仿宋_GB2312"/>
          <w:color w:val="000000"/>
          <w:sz w:val="32"/>
          <w:szCs w:val="32"/>
        </w:rPr>
        <w:t>1．强化畜禽养殖污染治理。</w:t>
      </w:r>
      <w:r>
        <w:rPr>
          <w:rFonts w:eastAsia="仿宋_GB2312"/>
          <w:sz w:val="32"/>
          <w:szCs w:val="32"/>
        </w:rPr>
        <w:t>到2020年，全区规模化畜禽养殖场（小区）全部规范化配套建设（或委托他人代为综合利用和无害化处理）粪污贮存、处理、利用设施并正常运行；2019年年底前，大型规模养殖场（小区）粪污处理设施装备配套率达到100%。</w:t>
      </w:r>
      <w:r>
        <w:rPr>
          <w:rFonts w:eastAsia="楷体_GB2312"/>
          <w:color w:val="000000"/>
          <w:sz w:val="32"/>
          <w:szCs w:val="32"/>
        </w:rPr>
        <w:t>（区农业农村局牵头）</w:t>
      </w:r>
    </w:p>
    <w:p>
      <w:pPr>
        <w:spacing w:line="580" w:lineRule="exact"/>
        <w:ind w:firstLine="640" w:firstLineChars="200"/>
        <w:rPr>
          <w:rFonts w:eastAsia="仿宋_GB2312"/>
          <w:sz w:val="32"/>
          <w:szCs w:val="32"/>
        </w:rPr>
      </w:pPr>
      <w:r>
        <w:rPr>
          <w:rFonts w:eastAsia="仿宋_GB2312"/>
          <w:color w:val="000000"/>
          <w:sz w:val="32"/>
          <w:szCs w:val="32"/>
        </w:rPr>
        <w:t>2．因地制宜，统筹治理农村生活污水，消除农村黑臭水体和坑塘。</w:t>
      </w:r>
      <w:r>
        <w:rPr>
          <w:rFonts w:eastAsia="仿宋_GB2312"/>
          <w:sz w:val="32"/>
          <w:szCs w:val="32"/>
        </w:rPr>
        <w:t>通过管网截污、小型污水处理站和氧化塘、人工湿地等方式因地制宜处理处置农村生活污水，解决农村污水直排问题。到2020年，完成农村无害化卫生厕所改造，50%以上的村庄对生活污水进行处理，农村新型社区基本实现污水收集处理。严格落实全省农村生活污水处理排放标准，对不达标的污水处理设施进行提升改造。</w:t>
      </w:r>
      <w:r>
        <w:rPr>
          <w:rFonts w:eastAsia="楷体_GB2312"/>
          <w:color w:val="000000"/>
          <w:sz w:val="32"/>
          <w:szCs w:val="32"/>
        </w:rPr>
        <w:t>（区生态环境分局、区住建局、区农业农村局牵头）</w:t>
      </w:r>
    </w:p>
    <w:p>
      <w:pPr>
        <w:spacing w:line="580" w:lineRule="exact"/>
        <w:ind w:firstLine="640" w:firstLineChars="200"/>
        <w:rPr>
          <w:rFonts w:eastAsia="仿宋_GB2312"/>
          <w:sz w:val="32"/>
          <w:szCs w:val="32"/>
        </w:rPr>
      </w:pPr>
      <w:r>
        <w:rPr>
          <w:rFonts w:eastAsia="仿宋_GB2312"/>
          <w:color w:val="000000"/>
          <w:sz w:val="32"/>
          <w:szCs w:val="32"/>
        </w:rPr>
        <w:t>3．加强农业面源污染防治力度。</w:t>
      </w:r>
      <w:r>
        <w:rPr>
          <w:rFonts w:eastAsia="仿宋_GB2312"/>
          <w:sz w:val="32"/>
          <w:szCs w:val="32"/>
        </w:rPr>
        <w:t>推广农药减量控害、化肥减量增效和增施有机肥技术，减少化肥农药使用量，增加有机肥使用量。到2020年，全区农药使用总量较2015年下降10%，化肥使用总量较2015年下降6%。</w:t>
      </w:r>
      <w:r>
        <w:rPr>
          <w:rFonts w:eastAsia="楷体_GB2312"/>
          <w:color w:val="000000"/>
          <w:sz w:val="32"/>
          <w:szCs w:val="32"/>
        </w:rPr>
        <w:t>（区农业农村局牵头）</w:t>
      </w:r>
    </w:p>
    <w:p>
      <w:pPr>
        <w:spacing w:line="580" w:lineRule="exact"/>
        <w:ind w:firstLine="640" w:firstLineChars="200"/>
        <w:rPr>
          <w:rFonts w:eastAsia="楷体_GB2312"/>
          <w:color w:val="000000"/>
          <w:sz w:val="32"/>
          <w:szCs w:val="32"/>
        </w:rPr>
      </w:pPr>
      <w:r>
        <w:rPr>
          <w:rFonts w:eastAsia="楷体_GB2312"/>
          <w:color w:val="000000"/>
          <w:sz w:val="32"/>
          <w:szCs w:val="32"/>
        </w:rPr>
        <w:t>（四）开展重点区域、重点河段专项治理和管理</w:t>
      </w:r>
    </w:p>
    <w:p>
      <w:pPr>
        <w:autoSpaceDE w:val="0"/>
        <w:autoSpaceDN w:val="0"/>
        <w:adjustRightInd w:val="0"/>
        <w:spacing w:line="580" w:lineRule="exact"/>
        <w:ind w:firstLine="640" w:firstLineChars="200"/>
        <w:rPr>
          <w:rFonts w:eastAsia="仿宋_GB2312"/>
          <w:sz w:val="32"/>
          <w:szCs w:val="32"/>
          <w:shd w:val="clear" w:color="auto" w:fill="FFFFFF"/>
        </w:rPr>
      </w:pPr>
      <w:r>
        <w:rPr>
          <w:rFonts w:eastAsia="仿宋_GB2312"/>
          <w:color w:val="000000"/>
          <w:sz w:val="32"/>
          <w:szCs w:val="32"/>
        </w:rPr>
        <w:t>加强重点区域纳管企业环境管理和产业结构调整。</w:t>
      </w:r>
      <w:r>
        <w:rPr>
          <w:rFonts w:eastAsia="仿宋_GB2312"/>
          <w:sz w:val="32"/>
          <w:szCs w:val="32"/>
          <w:shd w:val="clear" w:color="auto" w:fill="FFFFFF"/>
        </w:rPr>
        <w:t>结合全省化工行业转型升级工作要求，对化工园区外企业和非监控点企业逐步实施关停或搬迁，逐步提高化工企业入园率</w:t>
      </w:r>
      <w:r>
        <w:rPr>
          <w:rFonts w:eastAsia="楷体_GB2312"/>
          <w:color w:val="000000"/>
          <w:sz w:val="32"/>
          <w:szCs w:val="32"/>
        </w:rPr>
        <w:t>（区工信局牵头）。</w:t>
      </w:r>
    </w:p>
    <w:p>
      <w:pPr>
        <w:spacing w:line="580" w:lineRule="exact"/>
        <w:ind w:firstLine="640" w:firstLineChars="200"/>
        <w:rPr>
          <w:rFonts w:eastAsia="黑体"/>
          <w:color w:val="000000"/>
          <w:sz w:val="32"/>
          <w:szCs w:val="32"/>
        </w:rPr>
      </w:pPr>
      <w:r>
        <w:rPr>
          <w:rFonts w:eastAsia="黑体"/>
          <w:color w:val="000000"/>
          <w:sz w:val="32"/>
          <w:szCs w:val="32"/>
        </w:rPr>
        <w:t>四、保障措施</w:t>
      </w:r>
    </w:p>
    <w:p>
      <w:pPr>
        <w:spacing w:line="580" w:lineRule="exact"/>
        <w:ind w:firstLine="640" w:firstLineChars="200"/>
        <w:rPr>
          <w:rFonts w:eastAsia="仿宋_GB2312"/>
          <w:sz w:val="32"/>
          <w:szCs w:val="32"/>
          <w:shd w:val="clear" w:color="auto" w:fill="FFFFFF"/>
        </w:rPr>
      </w:pPr>
      <w:r>
        <w:rPr>
          <w:rFonts w:eastAsia="楷体_GB2312"/>
          <w:color w:val="000000"/>
          <w:sz w:val="32"/>
          <w:szCs w:val="32"/>
        </w:rPr>
        <w:t>（一）加强组织领导。</w:t>
      </w:r>
      <w:r>
        <w:rPr>
          <w:rFonts w:eastAsia="仿宋_GB2312"/>
          <w:sz w:val="32"/>
          <w:szCs w:val="32"/>
          <w:shd w:val="clear" w:color="auto" w:fill="FFFFFF"/>
        </w:rPr>
        <w:t>各镇政府、街道办事处要高度重视，切实把思想和行动统一到省委、省政府和市委市政府的决策部署上来，按照“水环境质量只能变好，不能变坏”的总体要求认真，履职尽责，继续加强区域水污染综合治理工作。区有关部门和各有关镇（街道）要按照本方案要求，坚持问题导向，列出问题清单、细化实化工作措施，制定具体落实方案。</w:t>
      </w:r>
      <w:r>
        <w:rPr>
          <w:rFonts w:eastAsia="楷体_GB2312"/>
          <w:color w:val="000000"/>
          <w:sz w:val="32"/>
          <w:szCs w:val="32"/>
        </w:rPr>
        <w:t>（区生态环境分局牵头）</w:t>
      </w:r>
    </w:p>
    <w:p>
      <w:pPr>
        <w:spacing w:line="580" w:lineRule="exact"/>
        <w:ind w:firstLine="640" w:firstLineChars="200"/>
        <w:rPr>
          <w:rFonts w:eastAsia="仿宋_GB2312"/>
          <w:sz w:val="32"/>
          <w:szCs w:val="32"/>
          <w:shd w:val="clear" w:color="auto" w:fill="FFFFFF"/>
        </w:rPr>
      </w:pPr>
      <w:r>
        <w:rPr>
          <w:rFonts w:eastAsia="楷体_GB2312"/>
          <w:color w:val="000000"/>
          <w:sz w:val="32"/>
          <w:szCs w:val="32"/>
        </w:rPr>
        <w:t>（二）提升主要河流环境管理水平。</w:t>
      </w:r>
      <w:r>
        <w:rPr>
          <w:rFonts w:eastAsia="仿宋_GB2312"/>
          <w:sz w:val="32"/>
          <w:szCs w:val="32"/>
          <w:shd w:val="clear" w:color="auto" w:fill="FFFFFF"/>
        </w:rPr>
        <w:t>严格落实超标即应急工作机制和快速溯源法工作程序，对河流超标实施零容忍，快速查找超标原因，及时解决环境突出问题，恢复断面达标。</w:t>
      </w:r>
      <w:r>
        <w:rPr>
          <w:rFonts w:eastAsia="楷体_GB2312"/>
          <w:color w:val="000000"/>
          <w:sz w:val="32"/>
          <w:szCs w:val="32"/>
        </w:rPr>
        <w:t>（区生态环境分局牵头）</w:t>
      </w:r>
      <w:r>
        <w:rPr>
          <w:rFonts w:eastAsia="仿宋_GB2312"/>
          <w:sz w:val="32"/>
          <w:szCs w:val="32"/>
          <w:shd w:val="clear" w:color="auto" w:fill="FFFFFF"/>
        </w:rPr>
        <w:t>严格落实河长制工作要求，加强河道巡查，建立污染水质问题报告及交办制度，根据职责交有关部门办理</w:t>
      </w:r>
      <w:r>
        <w:rPr>
          <w:rFonts w:eastAsia="楷体_GB2312"/>
          <w:color w:val="000000"/>
          <w:sz w:val="32"/>
          <w:szCs w:val="32"/>
        </w:rPr>
        <w:t>（区水利局牵头）。</w:t>
      </w:r>
      <w:r>
        <w:rPr>
          <w:rFonts w:eastAsia="仿宋_GB2312"/>
          <w:sz w:val="32"/>
          <w:szCs w:val="32"/>
          <w:shd w:val="clear" w:color="auto" w:fill="FFFFFF"/>
        </w:rPr>
        <w:t>建立污水管网巡查及维护管理制度，发现污水管网溢流问题及时疏通、修复。加强排入市政污水管网污水的管理，严厉打击向市政管网偷排偷倒高浓废水及超标污水行为</w:t>
      </w:r>
      <w:r>
        <w:rPr>
          <w:rFonts w:eastAsia="楷体_GB2312"/>
          <w:color w:val="000000"/>
          <w:sz w:val="32"/>
          <w:szCs w:val="32"/>
        </w:rPr>
        <w:t>（区住建局、区生态环境分局牵头）。</w:t>
      </w:r>
      <w:r>
        <w:rPr>
          <w:rFonts w:eastAsia="仿宋_GB2312"/>
          <w:sz w:val="32"/>
          <w:szCs w:val="32"/>
          <w:shd w:val="clear" w:color="auto" w:fill="FFFFFF"/>
        </w:rPr>
        <w:t>加强城镇污水处理厂的运行监督管理，加强监测预警，确保城镇污水处理厂稳定运行</w:t>
      </w:r>
      <w:r>
        <w:rPr>
          <w:rFonts w:eastAsia="楷体_GB2312"/>
          <w:color w:val="000000"/>
          <w:sz w:val="32"/>
          <w:szCs w:val="32"/>
        </w:rPr>
        <w:t>（区生态环境分局、区住建局牵头）。</w:t>
      </w:r>
    </w:p>
    <w:p>
      <w:pPr>
        <w:spacing w:line="580" w:lineRule="exact"/>
        <w:ind w:firstLine="640" w:firstLineChars="200"/>
        <w:rPr>
          <w:rFonts w:eastAsia="仿宋_GB2312"/>
          <w:sz w:val="32"/>
          <w:szCs w:val="32"/>
          <w:shd w:val="clear" w:color="auto" w:fill="FFFFFF"/>
        </w:rPr>
      </w:pPr>
      <w:r>
        <w:rPr>
          <w:rFonts w:eastAsia="楷体_GB2312"/>
          <w:color w:val="000000"/>
          <w:sz w:val="32"/>
          <w:szCs w:val="32"/>
        </w:rPr>
        <w:t>（三）加强调度督导和考核。</w:t>
      </w:r>
      <w:r>
        <w:rPr>
          <w:rFonts w:eastAsia="仿宋_GB2312"/>
          <w:sz w:val="32"/>
          <w:szCs w:val="32"/>
          <w:shd w:val="clear" w:color="auto" w:fill="FFFFFF"/>
        </w:rPr>
        <w:t>区生态环境分局将建立定期调度督导机制，每季度对各镇（街道）环境质量和重点工程进行考核打分排名，每年度对本方案实施情况开展1次评估，2021年，对方案完成情况进行全面评估。</w:t>
      </w:r>
      <w:r>
        <w:rPr>
          <w:rFonts w:eastAsia="楷体_GB2312"/>
          <w:color w:val="000000"/>
          <w:sz w:val="32"/>
          <w:szCs w:val="32"/>
        </w:rPr>
        <w:t>（区生态环境分局牵头）</w:t>
      </w:r>
      <w:r>
        <w:rPr>
          <w:rFonts w:eastAsia="仿宋_GB2312"/>
          <w:sz w:val="32"/>
          <w:szCs w:val="32"/>
          <w:shd w:val="clear" w:color="auto" w:fill="FFFFFF"/>
        </w:rPr>
        <w:t>对评估实绩突出的，进行表扬；对工作拖沓、履职不力、逾期未完成规定任务的，采取通报批评、公开约谈、媒体曝光等措施，督促问题整治，并启动问责程序。</w:t>
      </w:r>
      <w:r>
        <w:rPr>
          <w:rFonts w:eastAsia="楷体_GB2312"/>
          <w:color w:val="000000"/>
          <w:sz w:val="32"/>
          <w:szCs w:val="32"/>
        </w:rPr>
        <w:t>（区生态环境分局、区纪</w:t>
      </w:r>
      <w:r>
        <w:rPr>
          <w:rFonts w:hint="eastAsia" w:eastAsia="楷体_GB2312"/>
          <w:color w:val="000000"/>
          <w:sz w:val="32"/>
          <w:szCs w:val="32"/>
        </w:rPr>
        <w:t>监</w:t>
      </w:r>
      <w:r>
        <w:rPr>
          <w:rFonts w:eastAsia="楷体_GB2312"/>
          <w:color w:val="000000"/>
          <w:sz w:val="32"/>
          <w:szCs w:val="32"/>
        </w:rPr>
        <w:t>委、区委组织部、区人社局牵头）</w:t>
      </w:r>
    </w:p>
    <w:p>
      <w:pPr>
        <w:spacing w:line="580" w:lineRule="exact"/>
        <w:ind w:firstLine="640" w:firstLineChars="200"/>
        <w:rPr>
          <w:rFonts w:eastAsia="仿宋_GB2312"/>
          <w:sz w:val="32"/>
          <w:szCs w:val="32"/>
          <w:shd w:val="clear" w:color="auto" w:fill="FFFFFF"/>
        </w:rPr>
      </w:pPr>
      <w:r>
        <w:rPr>
          <w:rFonts w:eastAsia="楷体_GB2312"/>
          <w:color w:val="000000"/>
          <w:sz w:val="32"/>
          <w:szCs w:val="32"/>
        </w:rPr>
        <w:t>（四）加强信息公开、公众参与和宣传。</w:t>
      </w:r>
      <w:r>
        <w:rPr>
          <w:rFonts w:eastAsia="仿宋_GB2312"/>
          <w:sz w:val="32"/>
          <w:szCs w:val="32"/>
          <w:shd w:val="clear" w:color="auto" w:fill="FFFFFF"/>
        </w:rPr>
        <w:t>按规定公开建设项目环境影响评价信息，重点排污单位要依法及时准确地公开污染物排放、治污设施运行情况等环境信息，接受社会监督。充分发挥环保举报热线和网络平台作用，及时办理公众举报投诉的水污染环境问题。对取得较好治理效果的区域和案例进行宣传推广。</w:t>
      </w:r>
      <w:r>
        <w:rPr>
          <w:rFonts w:eastAsia="楷体_GB2312"/>
          <w:color w:val="000000"/>
          <w:sz w:val="32"/>
          <w:szCs w:val="32"/>
        </w:rPr>
        <w:t>（区生态环境分局牵头）</w:t>
      </w:r>
    </w:p>
    <w:p>
      <w:pPr>
        <w:spacing w:line="580" w:lineRule="exact"/>
        <w:ind w:firstLine="640" w:firstLineChars="200"/>
        <w:rPr>
          <w:rFonts w:eastAsia="仿宋_GB2312"/>
          <w:sz w:val="32"/>
          <w:szCs w:val="32"/>
          <w:shd w:val="clear" w:color="auto" w:fill="FFFFFF"/>
        </w:rPr>
      </w:pPr>
      <w:r>
        <w:rPr>
          <w:rFonts w:eastAsia="楷体_GB2312"/>
          <w:color w:val="000000"/>
          <w:sz w:val="32"/>
          <w:szCs w:val="32"/>
        </w:rPr>
        <w:t>（五）加大资金投入和科技支撑。</w:t>
      </w:r>
      <w:r>
        <w:rPr>
          <w:rFonts w:eastAsia="仿宋_GB2312"/>
          <w:sz w:val="32"/>
          <w:szCs w:val="32"/>
          <w:shd w:val="clear" w:color="auto" w:fill="FFFFFF"/>
        </w:rPr>
        <w:t>各镇（街道）要认真筛选一批环境效益明显的重点项目纳入中央及省水污染防治项目库，在充分争取和利用中央和省级财政资金的基础上，加大水污染治理资金投入力度，提升资金使用绩效</w:t>
      </w:r>
      <w:r>
        <w:rPr>
          <w:rFonts w:eastAsia="楷体_GB2312"/>
          <w:color w:val="000000"/>
          <w:sz w:val="32"/>
          <w:szCs w:val="32"/>
        </w:rPr>
        <w:t>（区生态环境分局、区财政局牵头）。</w:t>
      </w:r>
      <w:r>
        <w:rPr>
          <w:rFonts w:eastAsia="仿宋_GB2312"/>
          <w:sz w:val="32"/>
          <w:szCs w:val="32"/>
          <w:shd w:val="clear" w:color="auto" w:fill="FFFFFF"/>
        </w:rPr>
        <w:t>鼓励开展工业企业氟化物、全盐量等特征污染物的处理和氮磷污染防治等重点总量控制方面的研究，为水环境质量改善提供技术支撑。</w:t>
      </w:r>
      <w:r>
        <w:rPr>
          <w:rFonts w:eastAsia="楷体_GB2312"/>
          <w:color w:val="000000"/>
          <w:sz w:val="32"/>
          <w:szCs w:val="32"/>
        </w:rPr>
        <w:t>（区科技局牵头）</w:t>
      </w:r>
    </w:p>
    <w:p>
      <w:pPr>
        <w:spacing w:line="580" w:lineRule="exact"/>
        <w:ind w:firstLine="640" w:firstLineChars="200"/>
        <w:rPr>
          <w:rFonts w:eastAsia="仿宋_GB2312"/>
          <w:sz w:val="32"/>
          <w:szCs w:val="32"/>
          <w:shd w:val="clear" w:color="auto" w:fill="FFFFFF"/>
        </w:rPr>
      </w:pPr>
    </w:p>
    <w:p>
      <w:pPr>
        <w:spacing w:line="580" w:lineRule="exact"/>
        <w:ind w:firstLine="640" w:firstLineChars="200"/>
        <w:rPr>
          <w:rFonts w:eastAsia="仿宋_GB2312"/>
          <w:sz w:val="32"/>
          <w:szCs w:val="32"/>
          <w:shd w:val="clear" w:color="auto" w:fill="FFFFFF"/>
        </w:rPr>
      </w:pPr>
    </w:p>
    <w:p>
      <w:pPr>
        <w:spacing w:line="580" w:lineRule="exact"/>
        <w:ind w:firstLine="640" w:firstLineChars="200"/>
        <w:rPr>
          <w:rFonts w:eastAsia="仿宋_GB2312"/>
          <w:sz w:val="32"/>
          <w:szCs w:val="32"/>
        </w:rPr>
      </w:pPr>
      <w:r>
        <w:rPr>
          <w:rFonts w:eastAsia="仿宋_GB2312"/>
          <w:sz w:val="32"/>
          <w:szCs w:val="32"/>
        </w:rPr>
        <w:t>附件：1．全区主要河流断面水质控制目标</w:t>
      </w:r>
    </w:p>
    <w:p>
      <w:pPr>
        <w:tabs>
          <w:tab w:val="left" w:pos="7727"/>
          <w:tab w:val="left" w:pos="7770"/>
        </w:tabs>
        <w:spacing w:line="580" w:lineRule="exact"/>
        <w:ind w:firstLine="640" w:firstLineChars="200"/>
        <w:rPr>
          <w:rFonts w:hint="eastAsia" w:eastAsia="仿宋_GB2312"/>
          <w:sz w:val="32"/>
          <w:szCs w:val="32"/>
        </w:rPr>
      </w:pPr>
      <w:r>
        <w:rPr>
          <w:rFonts w:eastAsia="仿宋_GB2312"/>
          <w:sz w:val="32"/>
          <w:szCs w:val="32"/>
        </w:rPr>
        <w:t xml:space="preserve">      2．全区重点水污染防治工作任务表</w:t>
      </w: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sectPr>
          <w:headerReference r:id="rId8" w:type="first"/>
          <w:footerReference r:id="rId11" w:type="first"/>
          <w:headerReference r:id="rId6" w:type="default"/>
          <w:footerReference r:id="rId9" w:type="default"/>
          <w:headerReference r:id="rId7" w:type="even"/>
          <w:footerReference r:id="rId10" w:type="even"/>
          <w:pgSz w:w="11907" w:h="16840"/>
          <w:pgMar w:top="2036" w:right="1531" w:bottom="1701" w:left="1531" w:header="851" w:footer="1366" w:gutter="0"/>
          <w:cols w:space="425" w:num="1"/>
          <w:docGrid w:linePitch="312" w:charSpace="0"/>
        </w:sectPr>
      </w:pPr>
    </w:p>
    <w:p>
      <w:pPr>
        <w:spacing w:line="580" w:lineRule="exact"/>
        <w:jc w:val="left"/>
        <w:rPr>
          <w:rFonts w:eastAsia="黑体"/>
          <w:sz w:val="32"/>
          <w:szCs w:val="32"/>
        </w:rPr>
      </w:pPr>
      <w:r>
        <w:rPr>
          <w:rFonts w:hAnsi="黑体" w:eastAsia="黑体"/>
          <w:sz w:val="32"/>
          <w:szCs w:val="32"/>
        </w:rPr>
        <w:t>附件</w:t>
      </w:r>
      <w:r>
        <w:rPr>
          <w:rFonts w:eastAsia="黑体"/>
          <w:sz w:val="32"/>
          <w:szCs w:val="32"/>
        </w:rPr>
        <w:t>1</w:t>
      </w:r>
    </w:p>
    <w:p>
      <w:pPr>
        <w:spacing w:line="580" w:lineRule="exact"/>
        <w:jc w:val="left"/>
        <w:rPr>
          <w:rFonts w:eastAsia="黑体"/>
          <w:sz w:val="32"/>
          <w:szCs w:val="32"/>
        </w:rPr>
      </w:pPr>
    </w:p>
    <w:p>
      <w:pPr>
        <w:spacing w:line="700" w:lineRule="exact"/>
        <w:jc w:val="center"/>
        <w:rPr>
          <w:rFonts w:hint="eastAsia" w:hAnsi="方正小标宋简体" w:eastAsia="方正小标宋简体"/>
          <w:sz w:val="44"/>
          <w:szCs w:val="44"/>
        </w:rPr>
      </w:pPr>
      <w:r>
        <w:rPr>
          <w:rFonts w:hAnsi="方正小标宋简体" w:eastAsia="方正小标宋简体"/>
          <w:sz w:val="44"/>
          <w:szCs w:val="44"/>
        </w:rPr>
        <w:t>全区主要河流断面水质控制目标</w:t>
      </w:r>
    </w:p>
    <w:p>
      <w:pPr>
        <w:spacing w:line="580" w:lineRule="exact"/>
        <w:jc w:val="center"/>
        <w:rPr>
          <w:rFonts w:hint="eastAsia" w:eastAsia="方正小标宋简体"/>
          <w:sz w:val="44"/>
          <w:szCs w:val="44"/>
        </w:rPr>
      </w:pP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87"/>
        <w:gridCol w:w="2587"/>
        <w:gridCol w:w="2588"/>
        <w:gridCol w:w="2587"/>
        <w:gridCol w:w="2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990" w:hRule="atLeast"/>
          <w:jc w:val="center"/>
        </w:trPr>
        <w:tc>
          <w:tcPr>
            <w:tcW w:w="2587" w:type="dxa"/>
            <w:noWrap w:val="0"/>
            <w:vAlign w:val="center"/>
          </w:tcPr>
          <w:p>
            <w:pPr>
              <w:spacing w:line="600" w:lineRule="exact"/>
              <w:ind w:left="9" w:leftChars="-4" w:hanging="17" w:hangingChars="5"/>
              <w:jc w:val="center"/>
              <w:rPr>
                <w:rFonts w:eastAsia="黑体"/>
                <w:spacing w:val="20"/>
                <w:sz w:val="30"/>
                <w:szCs w:val="30"/>
              </w:rPr>
            </w:pPr>
            <w:r>
              <w:rPr>
                <w:rFonts w:hAnsi="黑体" w:eastAsia="黑体"/>
                <w:spacing w:val="20"/>
                <w:sz w:val="30"/>
                <w:szCs w:val="30"/>
              </w:rPr>
              <w:t>序</w:t>
            </w:r>
            <w:r>
              <w:rPr>
                <w:rFonts w:hint="eastAsia" w:hAnsi="黑体" w:eastAsia="黑体"/>
                <w:spacing w:val="20"/>
                <w:sz w:val="30"/>
                <w:szCs w:val="30"/>
              </w:rPr>
              <w:t xml:space="preserve">  </w:t>
            </w:r>
            <w:r>
              <w:rPr>
                <w:rFonts w:hAnsi="黑体" w:eastAsia="黑体"/>
                <w:spacing w:val="20"/>
                <w:sz w:val="30"/>
                <w:szCs w:val="30"/>
              </w:rPr>
              <w:t>号</w:t>
            </w:r>
          </w:p>
        </w:tc>
        <w:tc>
          <w:tcPr>
            <w:tcW w:w="2587" w:type="dxa"/>
            <w:noWrap w:val="0"/>
            <w:vAlign w:val="center"/>
          </w:tcPr>
          <w:p>
            <w:pPr>
              <w:spacing w:line="600" w:lineRule="exact"/>
              <w:ind w:left="9" w:leftChars="-4" w:hanging="17" w:hangingChars="5"/>
              <w:jc w:val="center"/>
              <w:rPr>
                <w:rFonts w:eastAsia="黑体"/>
                <w:spacing w:val="20"/>
                <w:sz w:val="30"/>
                <w:szCs w:val="30"/>
              </w:rPr>
            </w:pPr>
            <w:r>
              <w:rPr>
                <w:rFonts w:hAnsi="黑体" w:eastAsia="黑体"/>
                <w:spacing w:val="20"/>
                <w:sz w:val="30"/>
                <w:szCs w:val="30"/>
              </w:rPr>
              <w:t>断</w:t>
            </w:r>
            <w:r>
              <w:rPr>
                <w:rFonts w:eastAsia="黑体"/>
                <w:spacing w:val="20"/>
                <w:sz w:val="30"/>
                <w:szCs w:val="30"/>
              </w:rPr>
              <w:t xml:space="preserve">  </w:t>
            </w:r>
            <w:r>
              <w:rPr>
                <w:rFonts w:hAnsi="黑体" w:eastAsia="黑体"/>
                <w:spacing w:val="20"/>
                <w:sz w:val="30"/>
                <w:szCs w:val="30"/>
              </w:rPr>
              <w:t>面</w:t>
            </w:r>
          </w:p>
        </w:tc>
        <w:tc>
          <w:tcPr>
            <w:tcW w:w="2588" w:type="dxa"/>
            <w:noWrap w:val="0"/>
            <w:vAlign w:val="center"/>
          </w:tcPr>
          <w:p>
            <w:pPr>
              <w:spacing w:line="600" w:lineRule="exact"/>
              <w:ind w:left="9" w:leftChars="-4" w:hanging="17" w:hangingChars="5"/>
              <w:jc w:val="center"/>
              <w:rPr>
                <w:rFonts w:eastAsia="黑体"/>
                <w:spacing w:val="20"/>
                <w:sz w:val="30"/>
                <w:szCs w:val="30"/>
              </w:rPr>
            </w:pPr>
            <w:r>
              <w:rPr>
                <w:rFonts w:hAnsi="黑体" w:eastAsia="黑体"/>
                <w:spacing w:val="20"/>
                <w:sz w:val="30"/>
                <w:szCs w:val="30"/>
              </w:rPr>
              <w:t>水质类别</w:t>
            </w:r>
          </w:p>
        </w:tc>
        <w:tc>
          <w:tcPr>
            <w:tcW w:w="2587" w:type="dxa"/>
            <w:noWrap w:val="0"/>
            <w:vAlign w:val="center"/>
          </w:tcPr>
          <w:p>
            <w:pPr>
              <w:spacing w:line="600" w:lineRule="exact"/>
              <w:ind w:left="9" w:leftChars="-4" w:hanging="17" w:hangingChars="5"/>
              <w:jc w:val="center"/>
              <w:rPr>
                <w:rFonts w:eastAsia="黑体"/>
                <w:spacing w:val="20"/>
                <w:sz w:val="30"/>
                <w:szCs w:val="30"/>
              </w:rPr>
            </w:pPr>
            <w:r>
              <w:rPr>
                <w:rFonts w:eastAsia="黑体"/>
                <w:spacing w:val="20"/>
                <w:sz w:val="30"/>
                <w:szCs w:val="30"/>
              </w:rPr>
              <w:t>COD</w:t>
            </w:r>
            <w:r>
              <w:rPr>
                <w:rFonts w:hAnsi="黑体" w:eastAsia="黑体"/>
                <w:spacing w:val="20"/>
                <w:sz w:val="30"/>
                <w:szCs w:val="30"/>
              </w:rPr>
              <w:t>（</w:t>
            </w:r>
            <w:r>
              <w:rPr>
                <w:rFonts w:eastAsia="黑体"/>
                <w:spacing w:val="20"/>
                <w:sz w:val="30"/>
                <w:szCs w:val="30"/>
              </w:rPr>
              <w:t>mg/L</w:t>
            </w:r>
            <w:r>
              <w:rPr>
                <w:rFonts w:hAnsi="黑体" w:eastAsia="黑体"/>
                <w:spacing w:val="20"/>
                <w:sz w:val="30"/>
                <w:szCs w:val="30"/>
              </w:rPr>
              <w:t>）</w:t>
            </w:r>
          </w:p>
        </w:tc>
        <w:tc>
          <w:tcPr>
            <w:tcW w:w="2588" w:type="dxa"/>
            <w:noWrap w:val="0"/>
            <w:vAlign w:val="center"/>
          </w:tcPr>
          <w:p>
            <w:pPr>
              <w:spacing w:line="600" w:lineRule="exact"/>
              <w:ind w:left="9" w:leftChars="-4" w:hanging="17" w:hangingChars="5"/>
              <w:jc w:val="center"/>
              <w:rPr>
                <w:rFonts w:eastAsia="黑体"/>
                <w:spacing w:val="20"/>
                <w:sz w:val="30"/>
                <w:szCs w:val="30"/>
              </w:rPr>
            </w:pPr>
            <w:r>
              <w:rPr>
                <w:rFonts w:hAnsi="黑体" w:eastAsia="黑体"/>
                <w:spacing w:val="20"/>
                <w:sz w:val="30"/>
                <w:szCs w:val="30"/>
              </w:rPr>
              <w:t>氨氮（</w:t>
            </w:r>
            <w:r>
              <w:rPr>
                <w:rFonts w:eastAsia="黑体"/>
                <w:spacing w:val="20"/>
                <w:sz w:val="30"/>
                <w:szCs w:val="30"/>
              </w:rPr>
              <w:t>mg/L</w:t>
            </w:r>
            <w:r>
              <w:rPr>
                <w:rFonts w:hAnsi="黑体" w:eastAsia="黑体"/>
                <w:spacing w:val="20"/>
                <w:sz w:val="30"/>
                <w:szCs w:val="3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990" w:hRule="atLeast"/>
          <w:jc w:val="center"/>
        </w:trPr>
        <w:tc>
          <w:tcPr>
            <w:tcW w:w="2587" w:type="dxa"/>
            <w:noWrap w:val="0"/>
            <w:vAlign w:val="center"/>
          </w:tcPr>
          <w:p>
            <w:pPr>
              <w:spacing w:line="600" w:lineRule="exact"/>
              <w:ind w:left="15" w:leftChars="7"/>
              <w:jc w:val="center"/>
              <w:rPr>
                <w:rFonts w:eastAsia="仿宋_GB2312"/>
                <w:sz w:val="30"/>
                <w:szCs w:val="30"/>
              </w:rPr>
            </w:pPr>
            <w:r>
              <w:rPr>
                <w:rFonts w:eastAsia="仿宋_GB2312"/>
                <w:sz w:val="30"/>
                <w:szCs w:val="30"/>
              </w:rPr>
              <w:t>1</w:t>
            </w:r>
          </w:p>
        </w:tc>
        <w:tc>
          <w:tcPr>
            <w:tcW w:w="2587" w:type="dxa"/>
            <w:noWrap w:val="0"/>
            <w:vAlign w:val="center"/>
          </w:tcPr>
          <w:p>
            <w:pPr>
              <w:spacing w:line="600" w:lineRule="exact"/>
              <w:ind w:left="15" w:leftChars="7"/>
              <w:jc w:val="center"/>
              <w:rPr>
                <w:rFonts w:eastAsia="仿宋_GB2312"/>
                <w:sz w:val="30"/>
                <w:szCs w:val="30"/>
              </w:rPr>
            </w:pPr>
            <w:r>
              <w:rPr>
                <w:rFonts w:eastAsia="仿宋_GB2312"/>
                <w:sz w:val="30"/>
                <w:szCs w:val="30"/>
              </w:rPr>
              <w:t>孝妇河袁家桥</w:t>
            </w:r>
          </w:p>
        </w:tc>
        <w:tc>
          <w:tcPr>
            <w:tcW w:w="2588" w:type="dxa"/>
            <w:noWrap w:val="0"/>
            <w:vAlign w:val="center"/>
          </w:tcPr>
          <w:p>
            <w:pPr>
              <w:spacing w:before="100" w:beforeAutospacing="1" w:after="100" w:afterAutospacing="1" w:line="600" w:lineRule="exact"/>
              <w:ind w:left="-105" w:leftChars="-50"/>
              <w:jc w:val="center"/>
              <w:rPr>
                <w:rFonts w:eastAsia="仿宋_GB2312"/>
                <w:sz w:val="30"/>
                <w:szCs w:val="30"/>
              </w:rPr>
            </w:pPr>
            <w:r>
              <w:rPr>
                <w:rFonts w:eastAsia="仿宋_GB2312"/>
                <w:sz w:val="30"/>
                <w:szCs w:val="30"/>
              </w:rPr>
              <w:t>Ⅴ</w:t>
            </w:r>
          </w:p>
        </w:tc>
        <w:tc>
          <w:tcPr>
            <w:tcW w:w="2587" w:type="dxa"/>
            <w:noWrap w:val="0"/>
            <w:vAlign w:val="center"/>
          </w:tcPr>
          <w:p>
            <w:pPr>
              <w:spacing w:line="600" w:lineRule="exact"/>
              <w:ind w:left="15" w:leftChars="7"/>
              <w:jc w:val="center"/>
              <w:rPr>
                <w:rFonts w:eastAsia="仿宋_GB2312"/>
                <w:sz w:val="30"/>
                <w:szCs w:val="30"/>
              </w:rPr>
            </w:pPr>
            <w:r>
              <w:rPr>
                <w:rFonts w:eastAsia="仿宋_GB2312"/>
                <w:sz w:val="30"/>
                <w:szCs w:val="30"/>
              </w:rPr>
              <w:t>20</w:t>
            </w:r>
          </w:p>
        </w:tc>
        <w:tc>
          <w:tcPr>
            <w:tcW w:w="2588" w:type="dxa"/>
            <w:noWrap w:val="0"/>
            <w:vAlign w:val="center"/>
          </w:tcPr>
          <w:p>
            <w:pPr>
              <w:spacing w:line="600" w:lineRule="exact"/>
              <w:ind w:left="15" w:leftChars="7"/>
              <w:jc w:val="center"/>
              <w:rPr>
                <w:rFonts w:eastAsia="仿宋_GB2312"/>
                <w:sz w:val="30"/>
                <w:szCs w:val="30"/>
              </w:rPr>
            </w:pPr>
            <w:r>
              <w:rPr>
                <w:rFonts w:eastAsia="仿宋_GB2312"/>
                <w:sz w:val="30"/>
                <w:szCs w:val="3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990" w:hRule="atLeast"/>
          <w:jc w:val="center"/>
        </w:trPr>
        <w:tc>
          <w:tcPr>
            <w:tcW w:w="2587" w:type="dxa"/>
            <w:noWrap w:val="0"/>
            <w:vAlign w:val="center"/>
          </w:tcPr>
          <w:p>
            <w:pPr>
              <w:spacing w:line="600" w:lineRule="exact"/>
              <w:ind w:left="15" w:leftChars="7"/>
              <w:jc w:val="center"/>
              <w:rPr>
                <w:rFonts w:eastAsia="仿宋_GB2312"/>
                <w:sz w:val="30"/>
                <w:szCs w:val="30"/>
              </w:rPr>
            </w:pPr>
            <w:r>
              <w:rPr>
                <w:rFonts w:eastAsia="仿宋_GB2312"/>
                <w:sz w:val="30"/>
                <w:szCs w:val="30"/>
              </w:rPr>
              <w:t>2</w:t>
            </w:r>
          </w:p>
        </w:tc>
        <w:tc>
          <w:tcPr>
            <w:tcW w:w="2587" w:type="dxa"/>
            <w:noWrap w:val="0"/>
            <w:vAlign w:val="center"/>
          </w:tcPr>
          <w:p>
            <w:pPr>
              <w:spacing w:line="600" w:lineRule="exact"/>
              <w:ind w:left="15" w:leftChars="7"/>
              <w:jc w:val="center"/>
              <w:rPr>
                <w:rFonts w:eastAsia="仿宋_GB2312"/>
                <w:sz w:val="30"/>
                <w:szCs w:val="30"/>
              </w:rPr>
            </w:pPr>
            <w:r>
              <w:rPr>
                <w:rFonts w:eastAsia="仿宋_GB2312"/>
                <w:sz w:val="30"/>
                <w:szCs w:val="30"/>
              </w:rPr>
              <w:t>范阳河309桥</w:t>
            </w:r>
          </w:p>
        </w:tc>
        <w:tc>
          <w:tcPr>
            <w:tcW w:w="2588" w:type="dxa"/>
            <w:noWrap w:val="0"/>
            <w:vAlign w:val="center"/>
          </w:tcPr>
          <w:p>
            <w:pPr>
              <w:spacing w:before="100" w:beforeAutospacing="1" w:after="100" w:afterAutospacing="1" w:line="600" w:lineRule="exact"/>
              <w:ind w:left="-105" w:leftChars="-50"/>
              <w:jc w:val="center"/>
              <w:rPr>
                <w:rFonts w:eastAsia="仿宋_GB2312"/>
                <w:sz w:val="30"/>
                <w:szCs w:val="30"/>
              </w:rPr>
            </w:pPr>
            <w:r>
              <w:rPr>
                <w:rFonts w:eastAsia="仿宋_GB2312"/>
                <w:sz w:val="30"/>
                <w:szCs w:val="30"/>
              </w:rPr>
              <w:t>Ⅴ</w:t>
            </w:r>
          </w:p>
        </w:tc>
        <w:tc>
          <w:tcPr>
            <w:tcW w:w="2587" w:type="dxa"/>
            <w:noWrap w:val="0"/>
            <w:vAlign w:val="center"/>
          </w:tcPr>
          <w:p>
            <w:pPr>
              <w:spacing w:line="600" w:lineRule="exact"/>
              <w:ind w:left="15" w:leftChars="7"/>
              <w:jc w:val="center"/>
              <w:rPr>
                <w:rFonts w:eastAsia="仿宋_GB2312"/>
                <w:sz w:val="30"/>
                <w:szCs w:val="30"/>
              </w:rPr>
            </w:pPr>
            <w:r>
              <w:rPr>
                <w:rFonts w:eastAsia="仿宋_GB2312"/>
                <w:sz w:val="30"/>
                <w:szCs w:val="30"/>
              </w:rPr>
              <w:t>20</w:t>
            </w:r>
          </w:p>
        </w:tc>
        <w:tc>
          <w:tcPr>
            <w:tcW w:w="2588" w:type="dxa"/>
            <w:noWrap w:val="0"/>
            <w:vAlign w:val="center"/>
          </w:tcPr>
          <w:p>
            <w:pPr>
              <w:spacing w:line="600" w:lineRule="exact"/>
              <w:ind w:left="15" w:leftChars="7"/>
              <w:jc w:val="center"/>
              <w:rPr>
                <w:rFonts w:eastAsia="仿宋_GB2312"/>
                <w:sz w:val="30"/>
                <w:szCs w:val="30"/>
              </w:rPr>
            </w:pPr>
            <w:r>
              <w:rPr>
                <w:rFonts w:eastAsia="仿宋_GB2312"/>
                <w:sz w:val="30"/>
                <w:szCs w:val="30"/>
              </w:rPr>
              <w:t>1</w:t>
            </w:r>
          </w:p>
        </w:tc>
      </w:tr>
    </w:tbl>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hint="eastAsia" w:eastAsia="仿宋_GB2312"/>
          <w:sz w:val="32"/>
          <w:szCs w:val="32"/>
        </w:rPr>
      </w:pPr>
    </w:p>
    <w:p>
      <w:pPr>
        <w:spacing w:line="360" w:lineRule="auto"/>
        <w:jc w:val="left"/>
        <w:rPr>
          <w:rFonts w:hint="eastAsia" w:ascii="黑体" w:hAnsi="黑体" w:eastAsia="黑体" w:cs="黑体"/>
          <w:sz w:val="32"/>
          <w:szCs w:val="32"/>
        </w:rPr>
      </w:pPr>
    </w:p>
    <w:p>
      <w:pPr>
        <w:spacing w:line="580" w:lineRule="exact"/>
        <w:jc w:val="left"/>
        <w:rPr>
          <w:rFonts w:eastAsia="黑体"/>
          <w:sz w:val="32"/>
          <w:szCs w:val="32"/>
        </w:rPr>
      </w:pPr>
      <w:r>
        <w:rPr>
          <w:rFonts w:hAnsi="黑体" w:eastAsia="黑体"/>
          <w:sz w:val="32"/>
          <w:szCs w:val="32"/>
        </w:rPr>
        <w:t>附件</w:t>
      </w:r>
      <w:r>
        <w:rPr>
          <w:rFonts w:eastAsia="黑体"/>
          <w:sz w:val="32"/>
          <w:szCs w:val="32"/>
        </w:rPr>
        <w:t>2</w:t>
      </w:r>
    </w:p>
    <w:p>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全区重点水污染防治工作任务表</w:t>
      </w:r>
    </w:p>
    <w:p>
      <w:pPr>
        <w:spacing w:line="400" w:lineRule="exact"/>
        <w:jc w:val="center"/>
        <w:rPr>
          <w:rFonts w:hint="eastAsia" w:ascii="方正小标宋简体" w:hAnsi="方正小标宋简体" w:eastAsia="方正小标宋简体" w:cs="方正小标宋简体"/>
          <w:sz w:val="44"/>
          <w:szCs w:val="44"/>
        </w:rPr>
      </w:pPr>
    </w:p>
    <w:tbl>
      <w:tblPr>
        <w:tblStyle w:val="21"/>
        <w:tblW w:w="1313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65"/>
        <w:gridCol w:w="2790"/>
        <w:gridCol w:w="8310"/>
        <w:gridCol w:w="156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cantSplit/>
          <w:trHeight w:val="543" w:hRule="atLeast"/>
          <w:jc w:val="center"/>
        </w:trPr>
        <w:tc>
          <w:tcPr>
            <w:tcW w:w="465" w:type="dxa"/>
            <w:noWrap w:val="0"/>
            <w:vAlign w:val="center"/>
          </w:tcPr>
          <w:p>
            <w:pPr>
              <w:spacing w:line="280" w:lineRule="exact"/>
              <w:ind w:left="6" w:leftChars="-4" w:hanging="14" w:hangingChars="5"/>
              <w:jc w:val="center"/>
              <w:rPr>
                <w:rFonts w:eastAsia="黑体"/>
                <w:spacing w:val="20"/>
                <w:sz w:val="24"/>
              </w:rPr>
            </w:pPr>
            <w:r>
              <w:rPr>
                <w:rFonts w:hAnsi="黑体" w:eastAsia="黑体"/>
                <w:spacing w:val="20"/>
                <w:sz w:val="24"/>
              </w:rPr>
              <w:t>序</w:t>
            </w:r>
          </w:p>
          <w:p>
            <w:pPr>
              <w:spacing w:line="280" w:lineRule="exact"/>
              <w:ind w:left="6" w:leftChars="-4" w:hanging="14" w:hangingChars="5"/>
              <w:jc w:val="center"/>
              <w:rPr>
                <w:rFonts w:eastAsia="黑体"/>
                <w:spacing w:val="20"/>
                <w:sz w:val="24"/>
              </w:rPr>
            </w:pPr>
            <w:r>
              <w:rPr>
                <w:rFonts w:hAnsi="黑体" w:eastAsia="黑体"/>
                <w:spacing w:val="20"/>
                <w:sz w:val="24"/>
              </w:rPr>
              <w:t>号</w:t>
            </w:r>
          </w:p>
        </w:tc>
        <w:tc>
          <w:tcPr>
            <w:tcW w:w="2790" w:type="dxa"/>
            <w:noWrap w:val="0"/>
            <w:vAlign w:val="center"/>
          </w:tcPr>
          <w:p>
            <w:pPr>
              <w:spacing w:line="280" w:lineRule="exact"/>
              <w:jc w:val="center"/>
              <w:rPr>
                <w:rFonts w:eastAsia="黑体"/>
                <w:spacing w:val="20"/>
                <w:sz w:val="24"/>
              </w:rPr>
            </w:pPr>
            <w:r>
              <w:rPr>
                <w:rFonts w:hAnsi="黑体" w:eastAsia="黑体"/>
                <w:spacing w:val="20"/>
                <w:sz w:val="24"/>
              </w:rPr>
              <w:t>责任单位</w:t>
            </w:r>
          </w:p>
        </w:tc>
        <w:tc>
          <w:tcPr>
            <w:tcW w:w="8310" w:type="dxa"/>
            <w:noWrap w:val="0"/>
            <w:vAlign w:val="center"/>
          </w:tcPr>
          <w:p>
            <w:pPr>
              <w:spacing w:line="280" w:lineRule="exact"/>
              <w:ind w:left="15" w:leftChars="7"/>
              <w:jc w:val="center"/>
              <w:rPr>
                <w:rFonts w:eastAsia="黑体"/>
                <w:spacing w:val="20"/>
                <w:sz w:val="24"/>
              </w:rPr>
            </w:pPr>
            <w:r>
              <w:rPr>
                <w:rFonts w:hAnsi="黑体" w:eastAsia="黑体"/>
                <w:spacing w:val="20"/>
                <w:sz w:val="24"/>
              </w:rPr>
              <w:t>工作任务</w:t>
            </w:r>
          </w:p>
        </w:tc>
        <w:tc>
          <w:tcPr>
            <w:tcW w:w="1567" w:type="dxa"/>
            <w:noWrap w:val="0"/>
            <w:vAlign w:val="center"/>
          </w:tcPr>
          <w:p>
            <w:pPr>
              <w:spacing w:line="280" w:lineRule="exact"/>
              <w:jc w:val="center"/>
              <w:rPr>
                <w:rFonts w:eastAsia="黑体"/>
                <w:spacing w:val="20"/>
                <w:sz w:val="24"/>
              </w:rPr>
            </w:pPr>
            <w:r>
              <w:rPr>
                <w:rFonts w:hAnsi="黑体" w:eastAsia="黑体"/>
                <w:spacing w:val="20"/>
                <w:sz w:val="24"/>
              </w:rPr>
              <w:t>完成时限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cantSplit/>
          <w:trHeight w:val="629" w:hRule="atLeast"/>
          <w:jc w:val="center"/>
        </w:trPr>
        <w:tc>
          <w:tcPr>
            <w:tcW w:w="465" w:type="dxa"/>
            <w:noWrap w:val="0"/>
            <w:vAlign w:val="center"/>
          </w:tcPr>
          <w:p>
            <w:pPr>
              <w:spacing w:line="280" w:lineRule="exact"/>
              <w:ind w:left="4" w:leftChars="-4" w:hanging="12" w:hangingChars="5"/>
              <w:jc w:val="center"/>
              <w:rPr>
                <w:rFonts w:eastAsia="仿宋_GB2312"/>
                <w:spacing w:val="20"/>
                <w:szCs w:val="21"/>
              </w:rPr>
            </w:pPr>
            <w:r>
              <w:rPr>
                <w:rFonts w:eastAsia="仿宋_GB2312"/>
                <w:spacing w:val="20"/>
                <w:szCs w:val="21"/>
              </w:rPr>
              <w:t>1</w:t>
            </w:r>
          </w:p>
        </w:tc>
        <w:tc>
          <w:tcPr>
            <w:tcW w:w="2790" w:type="dxa"/>
            <w:noWrap w:val="0"/>
            <w:vAlign w:val="center"/>
          </w:tcPr>
          <w:p>
            <w:pPr>
              <w:spacing w:line="280" w:lineRule="exact"/>
              <w:jc w:val="center"/>
              <w:rPr>
                <w:rFonts w:hint="eastAsia" w:eastAsia="仿宋_GB2312"/>
                <w:szCs w:val="21"/>
              </w:rPr>
            </w:pPr>
            <w:r>
              <w:rPr>
                <w:rFonts w:eastAsia="仿宋_GB2312"/>
                <w:szCs w:val="21"/>
              </w:rPr>
              <w:t>各</w:t>
            </w:r>
            <w:r>
              <w:rPr>
                <w:rFonts w:eastAsia="仿宋_GB2312"/>
                <w:spacing w:val="-4"/>
                <w:szCs w:val="21"/>
              </w:rPr>
              <w:t>镇、街道，周村经济开发区</w:t>
            </w:r>
          </w:p>
        </w:tc>
        <w:tc>
          <w:tcPr>
            <w:tcW w:w="8310" w:type="dxa"/>
            <w:noWrap w:val="0"/>
            <w:vAlign w:val="center"/>
          </w:tcPr>
          <w:p>
            <w:pPr>
              <w:spacing w:line="280" w:lineRule="exact"/>
              <w:ind w:left="15" w:leftChars="7"/>
              <w:rPr>
                <w:rFonts w:eastAsia="仿宋_GB2312"/>
                <w:spacing w:val="20"/>
                <w:szCs w:val="21"/>
              </w:rPr>
            </w:pPr>
            <w:r>
              <w:rPr>
                <w:rFonts w:eastAsia="仿宋_GB2312"/>
                <w:szCs w:val="21"/>
              </w:rPr>
              <w:t>贯彻落实《山东省小清河流域水污染物综合排放标准》及《山东省沂沭河流域水污染物综合排放标准》</w:t>
            </w:r>
            <w:r>
              <w:rPr>
                <w:rFonts w:hint="eastAsia" w:eastAsia="仿宋_GB2312"/>
                <w:szCs w:val="21"/>
              </w:rPr>
              <w:t>，</w:t>
            </w:r>
            <w:r>
              <w:rPr>
                <w:rFonts w:eastAsia="仿宋_GB2312"/>
                <w:szCs w:val="21"/>
              </w:rPr>
              <w:t>排查重点排水企业和城镇污水处理厂，对超标企业开展治理，按期达标。</w:t>
            </w:r>
          </w:p>
        </w:tc>
        <w:tc>
          <w:tcPr>
            <w:tcW w:w="1567" w:type="dxa"/>
            <w:noWrap w:val="0"/>
            <w:vAlign w:val="center"/>
          </w:tcPr>
          <w:p>
            <w:pPr>
              <w:spacing w:line="280" w:lineRule="exact"/>
              <w:ind w:left="-105" w:leftChars="-50" w:right="-105" w:rightChars="-50"/>
              <w:jc w:val="center"/>
              <w:rPr>
                <w:rFonts w:eastAsia="仿宋_GB2312"/>
                <w:spacing w:val="20"/>
                <w:szCs w:val="21"/>
              </w:rPr>
            </w:pPr>
            <w:r>
              <w:rPr>
                <w:rFonts w:eastAsia="仿宋_GB2312"/>
                <w:spacing w:val="20"/>
                <w:szCs w:val="21"/>
              </w:rPr>
              <w:t>2019年4月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cantSplit/>
          <w:trHeight w:val="629" w:hRule="atLeast"/>
          <w:jc w:val="center"/>
        </w:trPr>
        <w:tc>
          <w:tcPr>
            <w:tcW w:w="465" w:type="dxa"/>
            <w:noWrap w:val="0"/>
            <w:vAlign w:val="center"/>
          </w:tcPr>
          <w:p>
            <w:pPr>
              <w:spacing w:line="280" w:lineRule="exact"/>
              <w:jc w:val="center"/>
              <w:rPr>
                <w:rFonts w:eastAsia="仿宋_GB2312"/>
                <w:szCs w:val="21"/>
              </w:rPr>
            </w:pPr>
            <w:r>
              <w:rPr>
                <w:rFonts w:eastAsia="仿宋_GB2312"/>
                <w:szCs w:val="21"/>
              </w:rPr>
              <w:t>2</w:t>
            </w:r>
          </w:p>
        </w:tc>
        <w:tc>
          <w:tcPr>
            <w:tcW w:w="2790" w:type="dxa"/>
            <w:noWrap w:val="0"/>
            <w:vAlign w:val="center"/>
          </w:tcPr>
          <w:p>
            <w:pPr>
              <w:spacing w:line="280" w:lineRule="exact"/>
              <w:jc w:val="center"/>
              <w:rPr>
                <w:rFonts w:eastAsia="仿宋_GB2312"/>
                <w:szCs w:val="21"/>
              </w:rPr>
            </w:pPr>
            <w:r>
              <w:rPr>
                <w:rFonts w:eastAsia="仿宋_GB2312"/>
                <w:szCs w:val="21"/>
              </w:rPr>
              <w:t>区住建局、各镇（街道）</w:t>
            </w:r>
          </w:p>
        </w:tc>
        <w:tc>
          <w:tcPr>
            <w:tcW w:w="8310" w:type="dxa"/>
            <w:noWrap w:val="0"/>
            <w:vAlign w:val="center"/>
          </w:tcPr>
          <w:p>
            <w:pPr>
              <w:spacing w:line="280" w:lineRule="exact"/>
              <w:ind w:left="15" w:leftChars="7"/>
              <w:rPr>
                <w:rFonts w:eastAsia="仿宋_GB2312"/>
                <w:szCs w:val="21"/>
              </w:rPr>
            </w:pPr>
            <w:r>
              <w:rPr>
                <w:rFonts w:eastAsia="仿宋_GB2312"/>
                <w:szCs w:val="21"/>
              </w:rPr>
              <w:t>按照淄博市人民政府办公厅《关于加快城市雨污合流管网进行分流改造的通知（淄政办发明电〔2017〕26号）》要求完成城区雨污分流工程。</w:t>
            </w:r>
          </w:p>
        </w:tc>
        <w:tc>
          <w:tcPr>
            <w:tcW w:w="1567" w:type="dxa"/>
            <w:noWrap w:val="0"/>
            <w:vAlign w:val="center"/>
          </w:tcPr>
          <w:p>
            <w:pPr>
              <w:spacing w:line="280" w:lineRule="exact"/>
              <w:ind w:left="-105" w:leftChars="-50" w:right="-105" w:rightChars="-50"/>
              <w:jc w:val="center"/>
              <w:rPr>
                <w:rFonts w:eastAsia="仿宋_GB2312"/>
                <w:szCs w:val="21"/>
              </w:rPr>
            </w:pPr>
            <w:r>
              <w:rPr>
                <w:rFonts w:eastAsia="仿宋_GB2312"/>
                <w:szCs w:val="21"/>
              </w:rPr>
              <w:t>2020年12月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cantSplit/>
          <w:trHeight w:val="543" w:hRule="atLeast"/>
          <w:jc w:val="center"/>
        </w:trPr>
        <w:tc>
          <w:tcPr>
            <w:tcW w:w="465" w:type="dxa"/>
            <w:noWrap w:val="0"/>
            <w:vAlign w:val="center"/>
          </w:tcPr>
          <w:p>
            <w:pPr>
              <w:spacing w:line="280" w:lineRule="exact"/>
              <w:jc w:val="center"/>
              <w:rPr>
                <w:rFonts w:eastAsia="仿宋_GB2312"/>
                <w:szCs w:val="21"/>
              </w:rPr>
            </w:pPr>
            <w:r>
              <w:rPr>
                <w:rFonts w:eastAsia="仿宋_GB2312"/>
                <w:szCs w:val="21"/>
              </w:rPr>
              <w:t>3</w:t>
            </w:r>
          </w:p>
        </w:tc>
        <w:tc>
          <w:tcPr>
            <w:tcW w:w="2790" w:type="dxa"/>
            <w:noWrap w:val="0"/>
            <w:vAlign w:val="center"/>
          </w:tcPr>
          <w:p>
            <w:pPr>
              <w:spacing w:line="280" w:lineRule="exact"/>
              <w:jc w:val="center"/>
              <w:rPr>
                <w:rFonts w:eastAsia="仿宋_GB2312"/>
                <w:szCs w:val="21"/>
              </w:rPr>
            </w:pPr>
            <w:r>
              <w:rPr>
                <w:rFonts w:eastAsia="仿宋_GB2312"/>
                <w:szCs w:val="21"/>
              </w:rPr>
              <w:t>山</w:t>
            </w:r>
            <w:r>
              <w:rPr>
                <w:rFonts w:eastAsia="仿宋_GB2312"/>
                <w:spacing w:val="-4"/>
                <w:szCs w:val="21"/>
              </w:rPr>
              <w:t>东齐鲁华信高科有限公司</w:t>
            </w:r>
          </w:p>
        </w:tc>
        <w:tc>
          <w:tcPr>
            <w:tcW w:w="8310" w:type="dxa"/>
            <w:noWrap w:val="0"/>
            <w:vAlign w:val="center"/>
          </w:tcPr>
          <w:p>
            <w:pPr>
              <w:spacing w:line="280" w:lineRule="exact"/>
              <w:ind w:left="15" w:leftChars="7"/>
              <w:rPr>
                <w:rFonts w:eastAsia="仿宋_GB2312"/>
                <w:szCs w:val="21"/>
              </w:rPr>
            </w:pPr>
            <w:r>
              <w:rPr>
                <w:rFonts w:eastAsia="仿宋_GB2312"/>
                <w:szCs w:val="21"/>
              </w:rPr>
              <w:t>山东齐鲁华信高科有限公司开展氮磷综合防治，安装总磷总氮在线监测设施并联网。</w:t>
            </w:r>
          </w:p>
        </w:tc>
        <w:tc>
          <w:tcPr>
            <w:tcW w:w="1567" w:type="dxa"/>
            <w:noWrap w:val="0"/>
            <w:vAlign w:val="center"/>
          </w:tcPr>
          <w:p>
            <w:pPr>
              <w:spacing w:line="280" w:lineRule="exact"/>
              <w:ind w:left="-105" w:leftChars="-50" w:right="-105" w:rightChars="-50"/>
              <w:jc w:val="center"/>
              <w:rPr>
                <w:rFonts w:eastAsia="仿宋_GB2312"/>
                <w:spacing w:val="20"/>
                <w:szCs w:val="21"/>
              </w:rPr>
            </w:pPr>
            <w:r>
              <w:rPr>
                <w:rFonts w:eastAsia="仿宋_GB2312"/>
                <w:spacing w:val="20"/>
                <w:szCs w:val="21"/>
              </w:rPr>
              <w:t>2019年4月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cantSplit/>
          <w:trHeight w:val="1524" w:hRule="atLeast"/>
          <w:jc w:val="center"/>
        </w:trPr>
        <w:tc>
          <w:tcPr>
            <w:tcW w:w="465" w:type="dxa"/>
            <w:noWrap w:val="0"/>
            <w:vAlign w:val="center"/>
          </w:tcPr>
          <w:p>
            <w:pPr>
              <w:spacing w:line="280" w:lineRule="exact"/>
              <w:jc w:val="center"/>
              <w:rPr>
                <w:rFonts w:eastAsia="仿宋_GB2312"/>
                <w:szCs w:val="21"/>
              </w:rPr>
            </w:pPr>
            <w:r>
              <w:rPr>
                <w:rFonts w:eastAsia="仿宋_GB2312"/>
                <w:szCs w:val="21"/>
              </w:rPr>
              <w:t>4</w:t>
            </w:r>
          </w:p>
        </w:tc>
        <w:tc>
          <w:tcPr>
            <w:tcW w:w="2790" w:type="dxa"/>
            <w:noWrap w:val="0"/>
            <w:vAlign w:val="center"/>
          </w:tcPr>
          <w:p>
            <w:pPr>
              <w:spacing w:line="280" w:lineRule="exact"/>
              <w:rPr>
                <w:rFonts w:eastAsia="仿宋_GB2312"/>
                <w:szCs w:val="21"/>
              </w:rPr>
            </w:pPr>
            <w:r>
              <w:rPr>
                <w:rFonts w:eastAsia="仿宋_GB2312"/>
                <w:szCs w:val="21"/>
              </w:rPr>
              <w:t>淄博市周村淦清污水处理有限公司、淄博市周村区王村污水处理有限公司、光大水务</w:t>
            </w:r>
            <w:r>
              <w:rPr>
                <w:rFonts w:hint="eastAsia" w:eastAsia="仿宋_GB2312"/>
                <w:szCs w:val="21"/>
              </w:rPr>
              <w:t>（</w:t>
            </w:r>
            <w:r>
              <w:rPr>
                <w:rFonts w:eastAsia="仿宋_GB2312"/>
                <w:szCs w:val="21"/>
              </w:rPr>
              <w:t>淄博周村</w:t>
            </w:r>
            <w:r>
              <w:rPr>
                <w:rFonts w:hint="eastAsia" w:eastAsia="仿宋_GB2312"/>
                <w:szCs w:val="21"/>
              </w:rPr>
              <w:t>）</w:t>
            </w:r>
            <w:r>
              <w:rPr>
                <w:rFonts w:eastAsia="仿宋_GB2312"/>
                <w:szCs w:val="21"/>
              </w:rPr>
              <w:t>净水有限公司、周南污水处理厂</w:t>
            </w:r>
          </w:p>
        </w:tc>
        <w:tc>
          <w:tcPr>
            <w:tcW w:w="8310" w:type="dxa"/>
            <w:noWrap w:val="0"/>
            <w:vAlign w:val="center"/>
          </w:tcPr>
          <w:p>
            <w:pPr>
              <w:spacing w:line="280" w:lineRule="exact"/>
              <w:ind w:left="15" w:leftChars="7"/>
              <w:rPr>
                <w:rFonts w:eastAsia="仿宋_GB2312"/>
                <w:szCs w:val="21"/>
              </w:rPr>
            </w:pPr>
            <w:r>
              <w:rPr>
                <w:rFonts w:eastAsia="仿宋_GB2312"/>
                <w:szCs w:val="21"/>
              </w:rPr>
              <w:t>城镇污水处理厂和各类工业园区污水处理厂执行GB 18918中一级A排放标准（含氮、磷、悬浮物），氟化物排放限值为1.5mg/L，COD和氨氮可根据环境容量加严标准。</w:t>
            </w:r>
          </w:p>
        </w:tc>
        <w:tc>
          <w:tcPr>
            <w:tcW w:w="1567" w:type="dxa"/>
            <w:noWrap w:val="0"/>
            <w:vAlign w:val="center"/>
          </w:tcPr>
          <w:p>
            <w:pPr>
              <w:spacing w:line="280" w:lineRule="exact"/>
              <w:ind w:left="-105" w:leftChars="-50" w:right="-105" w:rightChars="-50"/>
              <w:jc w:val="center"/>
              <w:rPr>
                <w:rFonts w:eastAsia="仿宋_GB2312"/>
                <w:spacing w:val="20"/>
                <w:szCs w:val="21"/>
              </w:rPr>
            </w:pPr>
            <w:r>
              <w:rPr>
                <w:rFonts w:eastAsia="仿宋_GB2312"/>
                <w:spacing w:val="20"/>
                <w:szCs w:val="21"/>
              </w:rPr>
              <w:t>2019年3月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cantSplit/>
          <w:trHeight w:val="683" w:hRule="atLeast"/>
          <w:jc w:val="center"/>
        </w:trPr>
        <w:tc>
          <w:tcPr>
            <w:tcW w:w="465" w:type="dxa"/>
            <w:vMerge w:val="restart"/>
            <w:noWrap w:val="0"/>
            <w:vAlign w:val="center"/>
          </w:tcPr>
          <w:p>
            <w:pPr>
              <w:spacing w:line="280" w:lineRule="exact"/>
              <w:jc w:val="center"/>
              <w:rPr>
                <w:rFonts w:eastAsia="仿宋_GB2312"/>
                <w:szCs w:val="21"/>
              </w:rPr>
            </w:pPr>
            <w:r>
              <w:rPr>
                <w:rFonts w:eastAsia="仿宋_GB2312"/>
                <w:szCs w:val="21"/>
              </w:rPr>
              <w:t>5</w:t>
            </w:r>
          </w:p>
        </w:tc>
        <w:tc>
          <w:tcPr>
            <w:tcW w:w="2790" w:type="dxa"/>
            <w:noWrap w:val="0"/>
            <w:vAlign w:val="center"/>
          </w:tcPr>
          <w:p>
            <w:pPr>
              <w:spacing w:line="280" w:lineRule="exact"/>
              <w:rPr>
                <w:rFonts w:eastAsia="仿宋_GB2312"/>
                <w:szCs w:val="21"/>
              </w:rPr>
            </w:pPr>
            <w:r>
              <w:rPr>
                <w:rFonts w:eastAsia="仿宋_GB2312"/>
                <w:szCs w:val="21"/>
              </w:rPr>
              <w:t>中国石化催化剂有限公司齐鲁分公司、</w:t>
            </w:r>
          </w:p>
        </w:tc>
        <w:tc>
          <w:tcPr>
            <w:tcW w:w="8310" w:type="dxa"/>
            <w:vMerge w:val="restart"/>
            <w:noWrap w:val="0"/>
            <w:vAlign w:val="center"/>
          </w:tcPr>
          <w:p>
            <w:pPr>
              <w:spacing w:line="280" w:lineRule="exact"/>
              <w:ind w:left="15" w:leftChars="7"/>
              <w:rPr>
                <w:rFonts w:eastAsia="仿宋_GB2312"/>
                <w:szCs w:val="21"/>
              </w:rPr>
            </w:pPr>
            <w:r>
              <w:rPr>
                <w:rFonts w:eastAsia="仿宋_GB2312"/>
                <w:szCs w:val="21"/>
              </w:rPr>
              <w:t>完成中国石化催化剂有限公司齐鲁分公司、山东齐鲁华信高科有限公司全盐量治理工程。</w:t>
            </w:r>
          </w:p>
        </w:tc>
        <w:tc>
          <w:tcPr>
            <w:tcW w:w="1567" w:type="dxa"/>
            <w:vMerge w:val="restart"/>
            <w:noWrap w:val="0"/>
            <w:vAlign w:val="center"/>
          </w:tcPr>
          <w:p>
            <w:pPr>
              <w:spacing w:line="280" w:lineRule="exact"/>
              <w:ind w:left="-105" w:leftChars="-50" w:right="-105" w:rightChars="-50"/>
              <w:jc w:val="center"/>
              <w:rPr>
                <w:rFonts w:eastAsia="仿宋_GB2312"/>
                <w:szCs w:val="21"/>
              </w:rPr>
            </w:pPr>
            <w:r>
              <w:rPr>
                <w:rFonts w:eastAsia="仿宋_GB2312"/>
                <w:szCs w:val="21"/>
              </w:rPr>
              <w:t>2019年10月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cantSplit/>
          <w:trHeight w:val="593" w:hRule="atLeast"/>
          <w:jc w:val="center"/>
        </w:trPr>
        <w:tc>
          <w:tcPr>
            <w:tcW w:w="0" w:type="auto"/>
            <w:vMerge w:val="continue"/>
            <w:noWrap w:val="0"/>
            <w:vAlign w:val="center"/>
          </w:tcPr>
          <w:p>
            <w:pPr>
              <w:spacing w:line="280" w:lineRule="exact"/>
              <w:jc w:val="center"/>
              <w:rPr>
                <w:rFonts w:eastAsia="仿宋_GB2312"/>
                <w:szCs w:val="21"/>
              </w:rPr>
            </w:pPr>
          </w:p>
        </w:tc>
        <w:tc>
          <w:tcPr>
            <w:tcW w:w="2790" w:type="dxa"/>
            <w:noWrap w:val="0"/>
            <w:vAlign w:val="center"/>
          </w:tcPr>
          <w:p>
            <w:pPr>
              <w:spacing w:line="280" w:lineRule="exact"/>
              <w:jc w:val="center"/>
              <w:rPr>
                <w:rFonts w:eastAsia="仿宋_GB2312"/>
                <w:szCs w:val="21"/>
              </w:rPr>
            </w:pPr>
            <w:r>
              <w:rPr>
                <w:rFonts w:eastAsia="仿宋_GB2312"/>
                <w:szCs w:val="21"/>
              </w:rPr>
              <w:t>山</w:t>
            </w:r>
            <w:r>
              <w:rPr>
                <w:rFonts w:eastAsia="仿宋_GB2312"/>
                <w:spacing w:val="-4"/>
                <w:szCs w:val="21"/>
              </w:rPr>
              <w:t>东齐鲁华信高科有限公司</w:t>
            </w:r>
          </w:p>
        </w:tc>
        <w:tc>
          <w:tcPr>
            <w:tcW w:w="0" w:type="auto"/>
            <w:vMerge w:val="continue"/>
            <w:noWrap w:val="0"/>
            <w:vAlign w:val="center"/>
          </w:tcPr>
          <w:p>
            <w:pPr>
              <w:spacing w:line="280" w:lineRule="exact"/>
              <w:rPr>
                <w:rFonts w:eastAsia="仿宋_GB2312"/>
                <w:szCs w:val="21"/>
              </w:rPr>
            </w:pPr>
          </w:p>
        </w:tc>
        <w:tc>
          <w:tcPr>
            <w:tcW w:w="0" w:type="auto"/>
            <w:vMerge w:val="continue"/>
            <w:noWrap w:val="0"/>
            <w:vAlign w:val="center"/>
          </w:tcPr>
          <w:p>
            <w:pPr>
              <w:spacing w:line="280" w:lineRule="exact"/>
              <w:jc w:val="center"/>
              <w:rPr>
                <w:rFonts w:eastAsia="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cantSplit/>
          <w:trHeight w:val="560" w:hRule="atLeast"/>
          <w:jc w:val="center"/>
        </w:trPr>
        <w:tc>
          <w:tcPr>
            <w:tcW w:w="465" w:type="dxa"/>
            <w:noWrap w:val="0"/>
            <w:vAlign w:val="center"/>
          </w:tcPr>
          <w:p>
            <w:pPr>
              <w:spacing w:line="280" w:lineRule="exact"/>
              <w:jc w:val="center"/>
              <w:rPr>
                <w:rFonts w:eastAsia="仿宋_GB2312"/>
                <w:szCs w:val="21"/>
              </w:rPr>
            </w:pPr>
            <w:r>
              <w:rPr>
                <w:rFonts w:eastAsia="仿宋_GB2312"/>
                <w:szCs w:val="21"/>
              </w:rPr>
              <w:t>6</w:t>
            </w:r>
          </w:p>
        </w:tc>
        <w:tc>
          <w:tcPr>
            <w:tcW w:w="2790" w:type="dxa"/>
            <w:noWrap w:val="0"/>
            <w:vAlign w:val="center"/>
          </w:tcPr>
          <w:p>
            <w:pPr>
              <w:spacing w:line="280" w:lineRule="exact"/>
              <w:jc w:val="center"/>
              <w:rPr>
                <w:rFonts w:eastAsia="仿宋_GB2312"/>
                <w:szCs w:val="21"/>
              </w:rPr>
            </w:pPr>
            <w:r>
              <w:rPr>
                <w:rFonts w:eastAsia="仿宋_GB2312"/>
                <w:szCs w:val="21"/>
              </w:rPr>
              <w:t>区生态环境分局</w:t>
            </w:r>
          </w:p>
        </w:tc>
        <w:tc>
          <w:tcPr>
            <w:tcW w:w="8310" w:type="dxa"/>
            <w:noWrap w:val="0"/>
            <w:vAlign w:val="center"/>
          </w:tcPr>
          <w:p>
            <w:pPr>
              <w:spacing w:line="280" w:lineRule="exact"/>
              <w:ind w:left="15" w:leftChars="7"/>
              <w:rPr>
                <w:rFonts w:eastAsia="仿宋_GB2312"/>
                <w:szCs w:val="21"/>
              </w:rPr>
            </w:pPr>
            <w:r>
              <w:rPr>
                <w:rFonts w:eastAsia="仿宋_GB2312"/>
                <w:szCs w:val="21"/>
              </w:rPr>
              <w:t>完成周村淦清污水处理厂南区人工湿地水质净化工程。</w:t>
            </w:r>
          </w:p>
        </w:tc>
        <w:tc>
          <w:tcPr>
            <w:tcW w:w="1567" w:type="dxa"/>
            <w:noWrap w:val="0"/>
            <w:vAlign w:val="center"/>
          </w:tcPr>
          <w:p>
            <w:pPr>
              <w:spacing w:line="280" w:lineRule="exact"/>
              <w:ind w:left="-105" w:leftChars="-50" w:right="-105" w:rightChars="-50"/>
              <w:jc w:val="center"/>
              <w:rPr>
                <w:rFonts w:eastAsia="仿宋_GB2312"/>
                <w:szCs w:val="21"/>
              </w:rPr>
            </w:pPr>
            <w:r>
              <w:rPr>
                <w:rFonts w:eastAsia="仿宋_GB2312"/>
                <w:szCs w:val="21"/>
              </w:rPr>
              <w:t>2019年5月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cantSplit/>
          <w:trHeight w:val="560" w:hRule="atLeast"/>
          <w:jc w:val="center"/>
        </w:trPr>
        <w:tc>
          <w:tcPr>
            <w:tcW w:w="465" w:type="dxa"/>
            <w:noWrap w:val="0"/>
            <w:vAlign w:val="center"/>
          </w:tcPr>
          <w:p>
            <w:pPr>
              <w:spacing w:line="280" w:lineRule="exact"/>
              <w:jc w:val="center"/>
              <w:rPr>
                <w:rFonts w:eastAsia="仿宋_GB2312"/>
                <w:szCs w:val="21"/>
              </w:rPr>
            </w:pPr>
            <w:r>
              <w:rPr>
                <w:rFonts w:eastAsia="仿宋_GB2312"/>
                <w:szCs w:val="21"/>
              </w:rPr>
              <w:t>7</w:t>
            </w:r>
          </w:p>
        </w:tc>
        <w:tc>
          <w:tcPr>
            <w:tcW w:w="2790" w:type="dxa"/>
            <w:noWrap w:val="0"/>
            <w:vAlign w:val="center"/>
          </w:tcPr>
          <w:p>
            <w:pPr>
              <w:spacing w:line="280" w:lineRule="exact"/>
              <w:jc w:val="center"/>
              <w:rPr>
                <w:rFonts w:hint="eastAsia" w:eastAsia="仿宋_GB2312"/>
                <w:szCs w:val="21"/>
              </w:rPr>
            </w:pPr>
            <w:r>
              <w:rPr>
                <w:rFonts w:eastAsia="仿宋_GB2312"/>
                <w:szCs w:val="21"/>
              </w:rPr>
              <w:t>南郊镇</w:t>
            </w:r>
            <w:r>
              <w:rPr>
                <w:rFonts w:hint="eastAsia" w:eastAsia="仿宋_GB2312"/>
                <w:szCs w:val="21"/>
              </w:rPr>
              <w:t>政府</w:t>
            </w:r>
          </w:p>
        </w:tc>
        <w:tc>
          <w:tcPr>
            <w:tcW w:w="8310" w:type="dxa"/>
            <w:noWrap w:val="0"/>
            <w:vAlign w:val="center"/>
          </w:tcPr>
          <w:p>
            <w:pPr>
              <w:spacing w:line="280" w:lineRule="exact"/>
              <w:rPr>
                <w:rFonts w:eastAsia="仿宋_GB2312"/>
                <w:szCs w:val="21"/>
              </w:rPr>
            </w:pPr>
            <w:r>
              <w:rPr>
                <w:rFonts w:eastAsia="仿宋_GB2312"/>
                <w:szCs w:val="21"/>
              </w:rPr>
              <w:t>完善周南污水处理厂支管网建设，新建支管网不少于6公里，实际日处理水量达到设计处理能力的50%以上。</w:t>
            </w:r>
          </w:p>
        </w:tc>
        <w:tc>
          <w:tcPr>
            <w:tcW w:w="1567" w:type="dxa"/>
            <w:noWrap w:val="0"/>
            <w:vAlign w:val="center"/>
          </w:tcPr>
          <w:p>
            <w:pPr>
              <w:spacing w:line="280" w:lineRule="exact"/>
              <w:ind w:left="-105" w:leftChars="-50" w:right="-105" w:rightChars="-50"/>
              <w:jc w:val="center"/>
              <w:rPr>
                <w:rFonts w:eastAsia="仿宋_GB2312"/>
                <w:szCs w:val="21"/>
              </w:rPr>
            </w:pPr>
            <w:r>
              <w:rPr>
                <w:rFonts w:eastAsia="仿宋_GB2312"/>
                <w:szCs w:val="21"/>
              </w:rPr>
              <w:t>2019年12月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cantSplit/>
          <w:trHeight w:val="560" w:hRule="atLeast"/>
          <w:jc w:val="center"/>
        </w:trPr>
        <w:tc>
          <w:tcPr>
            <w:tcW w:w="465" w:type="dxa"/>
            <w:noWrap w:val="0"/>
            <w:vAlign w:val="center"/>
          </w:tcPr>
          <w:p>
            <w:pPr>
              <w:spacing w:line="280" w:lineRule="exact"/>
              <w:jc w:val="center"/>
              <w:rPr>
                <w:rFonts w:eastAsia="仿宋_GB2312"/>
                <w:szCs w:val="21"/>
              </w:rPr>
            </w:pPr>
            <w:r>
              <w:rPr>
                <w:rFonts w:eastAsia="仿宋_GB2312"/>
                <w:szCs w:val="21"/>
              </w:rPr>
              <w:t>8</w:t>
            </w:r>
          </w:p>
        </w:tc>
        <w:tc>
          <w:tcPr>
            <w:tcW w:w="2790" w:type="dxa"/>
            <w:noWrap w:val="0"/>
            <w:vAlign w:val="center"/>
          </w:tcPr>
          <w:p>
            <w:pPr>
              <w:spacing w:line="280" w:lineRule="exact"/>
              <w:jc w:val="center"/>
              <w:rPr>
                <w:rFonts w:eastAsia="仿宋_GB2312"/>
                <w:szCs w:val="21"/>
              </w:rPr>
            </w:pPr>
            <w:r>
              <w:rPr>
                <w:rFonts w:eastAsia="仿宋_GB2312"/>
                <w:szCs w:val="21"/>
              </w:rPr>
              <w:t>区住建局</w:t>
            </w:r>
          </w:p>
        </w:tc>
        <w:tc>
          <w:tcPr>
            <w:tcW w:w="8310" w:type="dxa"/>
            <w:noWrap w:val="0"/>
            <w:vAlign w:val="center"/>
          </w:tcPr>
          <w:p>
            <w:pPr>
              <w:spacing w:line="280" w:lineRule="exact"/>
              <w:rPr>
                <w:rFonts w:eastAsia="仿宋_GB2312"/>
                <w:szCs w:val="21"/>
              </w:rPr>
            </w:pPr>
            <w:r>
              <w:rPr>
                <w:rFonts w:eastAsia="仿宋_GB2312"/>
                <w:szCs w:val="21"/>
              </w:rPr>
              <w:t>淄博市周村淦清污水处理有限公司4万吨/日芬顿试剂提标改造工程。</w:t>
            </w:r>
          </w:p>
        </w:tc>
        <w:tc>
          <w:tcPr>
            <w:tcW w:w="1567" w:type="dxa"/>
            <w:noWrap w:val="0"/>
            <w:vAlign w:val="center"/>
          </w:tcPr>
          <w:p>
            <w:pPr>
              <w:spacing w:line="280" w:lineRule="exact"/>
              <w:ind w:left="-105" w:leftChars="-50" w:right="-105" w:rightChars="-50"/>
              <w:jc w:val="center"/>
              <w:rPr>
                <w:rFonts w:eastAsia="仿宋_GB2312"/>
                <w:szCs w:val="21"/>
              </w:rPr>
            </w:pPr>
            <w:r>
              <w:rPr>
                <w:rFonts w:eastAsia="仿宋_GB2312"/>
                <w:szCs w:val="21"/>
              </w:rPr>
              <w:t>2019年12月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cantSplit/>
          <w:trHeight w:val="658" w:hRule="atLeast"/>
          <w:jc w:val="center"/>
        </w:trPr>
        <w:tc>
          <w:tcPr>
            <w:tcW w:w="465" w:type="dxa"/>
            <w:noWrap w:val="0"/>
            <w:vAlign w:val="center"/>
          </w:tcPr>
          <w:p>
            <w:pPr>
              <w:spacing w:line="280" w:lineRule="exact"/>
              <w:jc w:val="center"/>
              <w:rPr>
                <w:rFonts w:eastAsia="仿宋_GB2312"/>
                <w:szCs w:val="21"/>
              </w:rPr>
            </w:pPr>
            <w:r>
              <w:rPr>
                <w:rFonts w:eastAsia="仿宋_GB2312"/>
                <w:szCs w:val="21"/>
              </w:rPr>
              <w:t>9</w:t>
            </w:r>
          </w:p>
        </w:tc>
        <w:tc>
          <w:tcPr>
            <w:tcW w:w="2790" w:type="dxa"/>
            <w:noWrap w:val="0"/>
            <w:vAlign w:val="center"/>
          </w:tcPr>
          <w:p>
            <w:pPr>
              <w:spacing w:line="280" w:lineRule="exact"/>
              <w:jc w:val="center"/>
              <w:rPr>
                <w:rFonts w:eastAsia="仿宋_GB2312"/>
                <w:szCs w:val="21"/>
              </w:rPr>
            </w:pPr>
            <w:r>
              <w:rPr>
                <w:rFonts w:eastAsia="仿宋_GB2312"/>
                <w:szCs w:val="21"/>
              </w:rPr>
              <w:t>区水利局</w:t>
            </w:r>
          </w:p>
        </w:tc>
        <w:tc>
          <w:tcPr>
            <w:tcW w:w="8310" w:type="dxa"/>
            <w:noWrap w:val="0"/>
            <w:vAlign w:val="center"/>
          </w:tcPr>
          <w:p>
            <w:pPr>
              <w:spacing w:line="280" w:lineRule="exact"/>
              <w:rPr>
                <w:rFonts w:eastAsia="仿宋_GB2312"/>
                <w:szCs w:val="21"/>
              </w:rPr>
            </w:pPr>
            <w:r>
              <w:rPr>
                <w:rFonts w:eastAsia="仿宋_GB2312"/>
                <w:szCs w:val="21"/>
              </w:rPr>
              <w:t>完成化工聚集区下游饮用水水源地暂停使用及利用引黄客水水源替代工作。</w:t>
            </w:r>
          </w:p>
        </w:tc>
        <w:tc>
          <w:tcPr>
            <w:tcW w:w="1567" w:type="dxa"/>
            <w:noWrap w:val="0"/>
            <w:vAlign w:val="center"/>
          </w:tcPr>
          <w:p>
            <w:pPr>
              <w:spacing w:line="280" w:lineRule="exact"/>
              <w:ind w:left="-105" w:leftChars="-50" w:right="-105" w:rightChars="-50"/>
              <w:jc w:val="center"/>
              <w:rPr>
                <w:rFonts w:eastAsia="仿宋_GB2312"/>
                <w:szCs w:val="21"/>
              </w:rPr>
            </w:pPr>
            <w:r>
              <w:rPr>
                <w:rFonts w:eastAsia="仿宋_GB2312"/>
                <w:szCs w:val="21"/>
              </w:rPr>
              <w:t>2019年12月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cantSplit/>
          <w:trHeight w:val="980" w:hRule="atLeast"/>
          <w:jc w:val="center"/>
        </w:trPr>
        <w:tc>
          <w:tcPr>
            <w:tcW w:w="465" w:type="dxa"/>
            <w:noWrap w:val="0"/>
            <w:vAlign w:val="center"/>
          </w:tcPr>
          <w:p>
            <w:pPr>
              <w:spacing w:line="280" w:lineRule="exact"/>
              <w:jc w:val="center"/>
              <w:rPr>
                <w:rFonts w:eastAsia="仿宋_GB2312"/>
                <w:szCs w:val="21"/>
              </w:rPr>
            </w:pPr>
            <w:r>
              <w:rPr>
                <w:rFonts w:eastAsia="仿宋_GB2312"/>
                <w:szCs w:val="21"/>
              </w:rPr>
              <w:t>10</w:t>
            </w:r>
          </w:p>
        </w:tc>
        <w:tc>
          <w:tcPr>
            <w:tcW w:w="2790" w:type="dxa"/>
            <w:noWrap w:val="0"/>
            <w:vAlign w:val="center"/>
          </w:tcPr>
          <w:p>
            <w:pPr>
              <w:spacing w:line="280" w:lineRule="exact"/>
              <w:rPr>
                <w:rFonts w:eastAsia="仿宋_GB2312"/>
                <w:szCs w:val="21"/>
              </w:rPr>
            </w:pPr>
            <w:r>
              <w:rPr>
                <w:rFonts w:eastAsia="仿宋_GB2312"/>
                <w:szCs w:val="21"/>
              </w:rPr>
              <w:t>王村镇政府，南郊镇政府，青年路街道办事处，周村经济开发区管委会</w:t>
            </w:r>
          </w:p>
        </w:tc>
        <w:tc>
          <w:tcPr>
            <w:tcW w:w="8310" w:type="dxa"/>
            <w:noWrap w:val="0"/>
            <w:vAlign w:val="center"/>
          </w:tcPr>
          <w:p>
            <w:pPr>
              <w:spacing w:line="280" w:lineRule="exact"/>
              <w:rPr>
                <w:rFonts w:eastAsia="仿宋_GB2312"/>
                <w:szCs w:val="21"/>
              </w:rPr>
            </w:pPr>
            <w:r>
              <w:rPr>
                <w:rFonts w:eastAsia="仿宋_GB2312"/>
                <w:szCs w:val="21"/>
              </w:rPr>
              <w:t>开展农村（含贫困村）饮用水水源地保护区清理整治工作，设置保护区标示牌和隔离防护等设施，完成规范化建设任务。</w:t>
            </w:r>
          </w:p>
        </w:tc>
        <w:tc>
          <w:tcPr>
            <w:tcW w:w="1567" w:type="dxa"/>
            <w:noWrap w:val="0"/>
            <w:vAlign w:val="center"/>
          </w:tcPr>
          <w:p>
            <w:pPr>
              <w:spacing w:line="280" w:lineRule="exact"/>
              <w:ind w:left="-105" w:leftChars="-50" w:right="-105" w:rightChars="-50"/>
              <w:jc w:val="center"/>
              <w:rPr>
                <w:rFonts w:eastAsia="仿宋_GB2312"/>
                <w:szCs w:val="21"/>
              </w:rPr>
            </w:pPr>
            <w:r>
              <w:rPr>
                <w:rFonts w:eastAsia="仿宋_GB2312"/>
                <w:szCs w:val="21"/>
              </w:rPr>
              <w:t>2019年6月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cantSplit/>
          <w:trHeight w:val="965" w:hRule="atLeast"/>
          <w:jc w:val="center"/>
        </w:trPr>
        <w:tc>
          <w:tcPr>
            <w:tcW w:w="465" w:type="dxa"/>
            <w:noWrap w:val="0"/>
            <w:vAlign w:val="center"/>
          </w:tcPr>
          <w:p>
            <w:pPr>
              <w:spacing w:line="280" w:lineRule="exact"/>
              <w:jc w:val="center"/>
              <w:rPr>
                <w:rFonts w:eastAsia="仿宋_GB2312"/>
                <w:szCs w:val="21"/>
              </w:rPr>
            </w:pPr>
            <w:r>
              <w:rPr>
                <w:rFonts w:eastAsia="仿宋_GB2312"/>
                <w:szCs w:val="21"/>
              </w:rPr>
              <w:t>11</w:t>
            </w:r>
          </w:p>
        </w:tc>
        <w:tc>
          <w:tcPr>
            <w:tcW w:w="2790" w:type="dxa"/>
            <w:noWrap w:val="0"/>
            <w:vAlign w:val="center"/>
          </w:tcPr>
          <w:p>
            <w:pPr>
              <w:spacing w:line="280" w:lineRule="exact"/>
              <w:rPr>
                <w:rFonts w:eastAsia="仿宋_GB2312"/>
                <w:szCs w:val="21"/>
              </w:rPr>
            </w:pPr>
            <w:r>
              <w:rPr>
                <w:rFonts w:eastAsia="仿宋_GB2312"/>
                <w:szCs w:val="21"/>
              </w:rPr>
              <w:t>王村镇政府，南郊镇政府，青年路街道办事处，周村经济开发区管委会</w:t>
            </w:r>
          </w:p>
        </w:tc>
        <w:tc>
          <w:tcPr>
            <w:tcW w:w="8310" w:type="dxa"/>
            <w:noWrap w:val="0"/>
            <w:vAlign w:val="center"/>
          </w:tcPr>
          <w:p>
            <w:pPr>
              <w:spacing w:line="280" w:lineRule="exact"/>
              <w:rPr>
                <w:rFonts w:eastAsia="仿宋_GB2312"/>
                <w:szCs w:val="21"/>
              </w:rPr>
            </w:pPr>
            <w:r>
              <w:rPr>
                <w:rFonts w:eastAsia="仿宋_GB2312"/>
                <w:szCs w:val="21"/>
              </w:rPr>
              <w:t>完成农村饮用水水源地环境状况调查评估工作。</w:t>
            </w:r>
          </w:p>
        </w:tc>
        <w:tc>
          <w:tcPr>
            <w:tcW w:w="1567" w:type="dxa"/>
            <w:noWrap w:val="0"/>
            <w:vAlign w:val="center"/>
          </w:tcPr>
          <w:p>
            <w:pPr>
              <w:spacing w:line="280" w:lineRule="exact"/>
              <w:ind w:left="-105" w:leftChars="-50" w:right="-105" w:rightChars="-50"/>
              <w:jc w:val="center"/>
              <w:rPr>
                <w:rFonts w:eastAsia="仿宋_GB2312"/>
                <w:szCs w:val="21"/>
              </w:rPr>
            </w:pPr>
            <w:r>
              <w:rPr>
                <w:rFonts w:eastAsia="仿宋_GB2312"/>
                <w:szCs w:val="21"/>
              </w:rPr>
              <w:t>2019年12月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cantSplit/>
          <w:trHeight w:val="560" w:hRule="atLeast"/>
          <w:jc w:val="center"/>
        </w:trPr>
        <w:tc>
          <w:tcPr>
            <w:tcW w:w="465" w:type="dxa"/>
            <w:noWrap w:val="0"/>
            <w:vAlign w:val="center"/>
          </w:tcPr>
          <w:p>
            <w:pPr>
              <w:spacing w:line="280" w:lineRule="exact"/>
              <w:jc w:val="center"/>
              <w:rPr>
                <w:rFonts w:eastAsia="仿宋_GB2312"/>
                <w:szCs w:val="21"/>
              </w:rPr>
            </w:pPr>
            <w:r>
              <w:rPr>
                <w:rFonts w:eastAsia="仿宋_GB2312"/>
                <w:szCs w:val="21"/>
              </w:rPr>
              <w:t>12</w:t>
            </w:r>
          </w:p>
        </w:tc>
        <w:tc>
          <w:tcPr>
            <w:tcW w:w="2790" w:type="dxa"/>
            <w:noWrap w:val="0"/>
            <w:vAlign w:val="center"/>
          </w:tcPr>
          <w:p>
            <w:pPr>
              <w:spacing w:line="280" w:lineRule="exact"/>
              <w:jc w:val="center"/>
              <w:rPr>
                <w:rFonts w:eastAsia="仿宋_GB2312"/>
                <w:szCs w:val="21"/>
              </w:rPr>
            </w:pPr>
            <w:r>
              <w:rPr>
                <w:rFonts w:eastAsia="仿宋_GB2312"/>
                <w:szCs w:val="21"/>
              </w:rPr>
              <w:t>区住建局</w:t>
            </w:r>
          </w:p>
        </w:tc>
        <w:tc>
          <w:tcPr>
            <w:tcW w:w="8310" w:type="dxa"/>
            <w:noWrap w:val="0"/>
            <w:vAlign w:val="center"/>
          </w:tcPr>
          <w:p>
            <w:pPr>
              <w:spacing w:line="280" w:lineRule="exact"/>
              <w:rPr>
                <w:rFonts w:eastAsia="仿宋_GB2312"/>
                <w:szCs w:val="21"/>
              </w:rPr>
            </w:pPr>
            <w:r>
              <w:rPr>
                <w:rFonts w:eastAsia="仿宋_GB2312"/>
                <w:szCs w:val="21"/>
              </w:rPr>
              <w:t>5月底前，统筹考虑周村区、经开区污水处理厂分离，年底完成招投标工作。</w:t>
            </w:r>
          </w:p>
        </w:tc>
        <w:tc>
          <w:tcPr>
            <w:tcW w:w="1567" w:type="dxa"/>
            <w:noWrap w:val="0"/>
            <w:vAlign w:val="center"/>
          </w:tcPr>
          <w:p>
            <w:pPr>
              <w:spacing w:line="280" w:lineRule="exact"/>
              <w:ind w:left="-105" w:leftChars="-50" w:right="-105" w:rightChars="-50"/>
              <w:jc w:val="center"/>
              <w:rPr>
                <w:rFonts w:eastAsia="仿宋_GB2312"/>
                <w:szCs w:val="21"/>
              </w:rPr>
            </w:pPr>
            <w:r>
              <w:rPr>
                <w:rFonts w:eastAsia="仿宋_GB2312"/>
                <w:szCs w:val="21"/>
              </w:rPr>
              <w:t>2019年12月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cantSplit/>
          <w:trHeight w:val="949" w:hRule="atLeast"/>
          <w:jc w:val="center"/>
        </w:trPr>
        <w:tc>
          <w:tcPr>
            <w:tcW w:w="465" w:type="dxa"/>
            <w:noWrap w:val="0"/>
            <w:vAlign w:val="center"/>
          </w:tcPr>
          <w:p>
            <w:pPr>
              <w:spacing w:line="280" w:lineRule="exact"/>
              <w:jc w:val="center"/>
              <w:rPr>
                <w:rFonts w:eastAsia="仿宋_GB2312"/>
                <w:szCs w:val="21"/>
              </w:rPr>
            </w:pPr>
            <w:r>
              <w:rPr>
                <w:rFonts w:eastAsia="仿宋_GB2312"/>
                <w:szCs w:val="21"/>
              </w:rPr>
              <w:t>13</w:t>
            </w:r>
          </w:p>
        </w:tc>
        <w:tc>
          <w:tcPr>
            <w:tcW w:w="2790" w:type="dxa"/>
            <w:noWrap w:val="0"/>
            <w:vAlign w:val="center"/>
          </w:tcPr>
          <w:p>
            <w:pPr>
              <w:spacing w:line="280" w:lineRule="exact"/>
              <w:rPr>
                <w:rFonts w:eastAsia="仿宋_GB2312"/>
                <w:szCs w:val="21"/>
              </w:rPr>
            </w:pPr>
            <w:r>
              <w:rPr>
                <w:rFonts w:eastAsia="仿宋_GB2312"/>
                <w:szCs w:val="21"/>
              </w:rPr>
              <w:t>区生态环境分局，相关镇政府、街道办事处，周村经济开发区管委会</w:t>
            </w:r>
          </w:p>
        </w:tc>
        <w:tc>
          <w:tcPr>
            <w:tcW w:w="8310" w:type="dxa"/>
            <w:noWrap w:val="0"/>
            <w:vAlign w:val="center"/>
          </w:tcPr>
          <w:p>
            <w:pPr>
              <w:spacing w:line="280" w:lineRule="exact"/>
              <w:rPr>
                <w:rFonts w:eastAsia="仿宋_GB2312"/>
                <w:szCs w:val="21"/>
              </w:rPr>
            </w:pPr>
            <w:r>
              <w:rPr>
                <w:rFonts w:eastAsia="仿宋_GB2312"/>
                <w:szCs w:val="21"/>
              </w:rPr>
              <w:t>完成周村化工新材料产业园区及其他化工企业周边地下水监测网络建设、水质监测工作，分析评估工作。</w:t>
            </w:r>
          </w:p>
        </w:tc>
        <w:tc>
          <w:tcPr>
            <w:tcW w:w="1567" w:type="dxa"/>
            <w:noWrap w:val="0"/>
            <w:vAlign w:val="center"/>
          </w:tcPr>
          <w:p>
            <w:pPr>
              <w:spacing w:line="280" w:lineRule="exact"/>
              <w:ind w:left="-105" w:leftChars="-50" w:right="-105" w:rightChars="-50"/>
              <w:jc w:val="center"/>
              <w:rPr>
                <w:rFonts w:eastAsia="仿宋_GB2312"/>
                <w:szCs w:val="21"/>
              </w:rPr>
            </w:pPr>
            <w:r>
              <w:rPr>
                <w:rFonts w:eastAsia="仿宋_GB2312"/>
                <w:szCs w:val="21"/>
              </w:rPr>
              <w:t>2019年12月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cantSplit/>
          <w:trHeight w:val="1060" w:hRule="atLeast"/>
          <w:jc w:val="center"/>
        </w:trPr>
        <w:tc>
          <w:tcPr>
            <w:tcW w:w="465" w:type="dxa"/>
            <w:noWrap w:val="0"/>
            <w:vAlign w:val="center"/>
          </w:tcPr>
          <w:p>
            <w:pPr>
              <w:spacing w:line="280" w:lineRule="exact"/>
              <w:jc w:val="center"/>
              <w:rPr>
                <w:rFonts w:eastAsia="仿宋_GB2312"/>
                <w:szCs w:val="21"/>
              </w:rPr>
            </w:pPr>
            <w:r>
              <w:rPr>
                <w:rFonts w:eastAsia="仿宋_GB2312"/>
                <w:szCs w:val="21"/>
              </w:rPr>
              <w:t>14</w:t>
            </w:r>
          </w:p>
        </w:tc>
        <w:tc>
          <w:tcPr>
            <w:tcW w:w="2790" w:type="dxa"/>
            <w:noWrap w:val="0"/>
            <w:vAlign w:val="center"/>
          </w:tcPr>
          <w:p>
            <w:pPr>
              <w:spacing w:line="280" w:lineRule="exact"/>
              <w:rPr>
                <w:rFonts w:eastAsia="仿宋_GB2312"/>
                <w:szCs w:val="21"/>
              </w:rPr>
            </w:pPr>
            <w:r>
              <w:rPr>
                <w:rFonts w:eastAsia="仿宋_GB2312"/>
                <w:szCs w:val="21"/>
              </w:rPr>
              <w:t>区农业农村局、相关镇政府、街道办事处，周村经济开发区管委会</w:t>
            </w:r>
          </w:p>
        </w:tc>
        <w:tc>
          <w:tcPr>
            <w:tcW w:w="8310" w:type="dxa"/>
            <w:noWrap w:val="0"/>
            <w:vAlign w:val="center"/>
          </w:tcPr>
          <w:p>
            <w:pPr>
              <w:spacing w:line="280" w:lineRule="exact"/>
              <w:rPr>
                <w:rFonts w:eastAsia="仿宋_GB2312"/>
                <w:szCs w:val="21"/>
              </w:rPr>
            </w:pPr>
            <w:r>
              <w:rPr>
                <w:rFonts w:eastAsia="仿宋_GB2312"/>
                <w:szCs w:val="21"/>
              </w:rPr>
              <w:t>2019年底前，大型规模化养殖场（小区）粪污处理设施装备配套率达到100%。</w:t>
            </w:r>
          </w:p>
        </w:tc>
        <w:tc>
          <w:tcPr>
            <w:tcW w:w="1567" w:type="dxa"/>
            <w:noWrap w:val="0"/>
            <w:vAlign w:val="center"/>
          </w:tcPr>
          <w:p>
            <w:pPr>
              <w:spacing w:line="280" w:lineRule="exact"/>
              <w:ind w:left="-105" w:leftChars="-50" w:right="-105" w:rightChars="-50"/>
              <w:jc w:val="center"/>
              <w:rPr>
                <w:rFonts w:eastAsia="仿宋_GB2312"/>
                <w:szCs w:val="21"/>
              </w:rPr>
            </w:pPr>
            <w:r>
              <w:rPr>
                <w:rFonts w:eastAsia="仿宋_GB2312"/>
                <w:szCs w:val="21"/>
              </w:rPr>
              <w:t>2019年12月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cantSplit/>
          <w:trHeight w:val="1074" w:hRule="atLeast"/>
          <w:jc w:val="center"/>
        </w:trPr>
        <w:tc>
          <w:tcPr>
            <w:tcW w:w="465" w:type="dxa"/>
            <w:noWrap w:val="0"/>
            <w:vAlign w:val="center"/>
          </w:tcPr>
          <w:p>
            <w:pPr>
              <w:spacing w:line="280" w:lineRule="exact"/>
              <w:jc w:val="center"/>
              <w:rPr>
                <w:rFonts w:eastAsia="仿宋_GB2312"/>
                <w:szCs w:val="21"/>
              </w:rPr>
            </w:pPr>
            <w:r>
              <w:rPr>
                <w:rFonts w:eastAsia="仿宋_GB2312"/>
                <w:szCs w:val="21"/>
              </w:rPr>
              <w:t>15</w:t>
            </w:r>
          </w:p>
        </w:tc>
        <w:tc>
          <w:tcPr>
            <w:tcW w:w="2790" w:type="dxa"/>
            <w:noWrap w:val="0"/>
            <w:vAlign w:val="center"/>
          </w:tcPr>
          <w:p>
            <w:pPr>
              <w:spacing w:line="280" w:lineRule="exact"/>
              <w:rPr>
                <w:rFonts w:eastAsia="仿宋_GB2312"/>
                <w:szCs w:val="21"/>
              </w:rPr>
            </w:pPr>
            <w:r>
              <w:rPr>
                <w:rFonts w:eastAsia="仿宋_GB2312"/>
                <w:szCs w:val="21"/>
              </w:rPr>
              <w:t>区农业农村局、相关镇政府、街道办事处，周村经济开发区管委会</w:t>
            </w:r>
          </w:p>
        </w:tc>
        <w:tc>
          <w:tcPr>
            <w:tcW w:w="8310" w:type="dxa"/>
            <w:noWrap w:val="0"/>
            <w:vAlign w:val="center"/>
          </w:tcPr>
          <w:p>
            <w:pPr>
              <w:spacing w:line="280" w:lineRule="exact"/>
              <w:rPr>
                <w:rFonts w:eastAsia="仿宋_GB2312"/>
                <w:szCs w:val="21"/>
              </w:rPr>
            </w:pPr>
            <w:r>
              <w:rPr>
                <w:rFonts w:eastAsia="仿宋_GB2312"/>
                <w:szCs w:val="21"/>
              </w:rPr>
              <w:t>2020年，全区农药使用总量较2015年下降10%，化肥使用量较2015年下降6%。</w:t>
            </w:r>
          </w:p>
        </w:tc>
        <w:tc>
          <w:tcPr>
            <w:tcW w:w="1567" w:type="dxa"/>
            <w:noWrap w:val="0"/>
            <w:vAlign w:val="center"/>
          </w:tcPr>
          <w:p>
            <w:pPr>
              <w:spacing w:line="280" w:lineRule="exact"/>
              <w:ind w:left="-105" w:leftChars="-50" w:right="-105" w:rightChars="-50"/>
              <w:jc w:val="center"/>
              <w:rPr>
                <w:rFonts w:eastAsia="仿宋_GB2312"/>
                <w:szCs w:val="21"/>
              </w:rPr>
            </w:pPr>
            <w:r>
              <w:rPr>
                <w:rFonts w:eastAsia="仿宋_GB2312"/>
                <w:szCs w:val="21"/>
              </w:rPr>
              <w:t>2020年12月</w:t>
            </w:r>
          </w:p>
        </w:tc>
      </w:tr>
    </w:tbl>
    <w:p>
      <w:pPr>
        <w:tabs>
          <w:tab w:val="left" w:pos="7727"/>
          <w:tab w:val="left" w:pos="7770"/>
        </w:tabs>
        <w:spacing w:line="580" w:lineRule="exact"/>
        <w:ind w:firstLine="640" w:firstLineChars="200"/>
        <w:rPr>
          <w:rFonts w:hint="eastAsia" w:eastAsia="仿宋_GB2312"/>
          <w:sz w:val="32"/>
          <w:szCs w:val="32"/>
        </w:rPr>
      </w:pPr>
    </w:p>
    <w:p>
      <w:pPr>
        <w:tabs>
          <w:tab w:val="left" w:pos="7727"/>
          <w:tab w:val="left" w:pos="7770"/>
        </w:tabs>
        <w:spacing w:line="580" w:lineRule="exact"/>
        <w:ind w:firstLine="640" w:firstLineChars="200"/>
        <w:rPr>
          <w:rFonts w:hint="eastAsia" w:eastAsia="仿宋_GB2312"/>
          <w:sz w:val="32"/>
          <w:szCs w:val="32"/>
        </w:rPr>
      </w:pPr>
    </w:p>
    <w:p>
      <w:pPr>
        <w:tabs>
          <w:tab w:val="left" w:pos="7727"/>
          <w:tab w:val="left" w:pos="7770"/>
        </w:tabs>
        <w:spacing w:line="580" w:lineRule="exact"/>
        <w:ind w:firstLine="640" w:firstLineChars="200"/>
        <w:rPr>
          <w:rFonts w:hint="eastAsia" w:eastAsia="仿宋_GB2312"/>
          <w:sz w:val="32"/>
          <w:szCs w:val="32"/>
        </w:rPr>
      </w:pPr>
    </w:p>
    <w:p>
      <w:pPr>
        <w:tabs>
          <w:tab w:val="left" w:pos="7727"/>
          <w:tab w:val="left" w:pos="7770"/>
        </w:tabs>
        <w:spacing w:line="580" w:lineRule="exact"/>
        <w:ind w:firstLine="640" w:firstLineChars="200"/>
        <w:rPr>
          <w:rFonts w:hint="eastAsia" w:eastAsia="仿宋_GB2312"/>
          <w:sz w:val="32"/>
          <w:szCs w:val="32"/>
        </w:rPr>
      </w:pPr>
    </w:p>
    <w:p>
      <w:pPr>
        <w:tabs>
          <w:tab w:val="left" w:pos="7727"/>
          <w:tab w:val="left" w:pos="7770"/>
        </w:tabs>
        <w:spacing w:line="580" w:lineRule="exact"/>
        <w:ind w:firstLine="640" w:firstLineChars="200"/>
        <w:rPr>
          <w:rFonts w:eastAsia="仿宋_GB2312"/>
          <w:sz w:val="32"/>
          <w:szCs w:val="32"/>
        </w:rPr>
        <w:sectPr>
          <w:pgSz w:w="16840" w:h="11907" w:orient="landscape"/>
          <w:pgMar w:top="1531" w:right="2036" w:bottom="1531" w:left="1701" w:header="851" w:footer="644" w:gutter="0"/>
          <w:cols w:space="425" w:num="1"/>
          <w:docGrid w:linePitch="312" w:charSpace="0"/>
        </w:sectPr>
      </w:pPr>
    </w:p>
    <w:p>
      <w:pPr>
        <w:tabs>
          <w:tab w:val="left" w:pos="7727"/>
          <w:tab w:val="left" w:pos="7770"/>
        </w:tabs>
        <w:spacing w:line="580" w:lineRule="exact"/>
        <w:ind w:firstLine="640" w:firstLineChars="200"/>
        <w:rPr>
          <w:rFonts w:hint="eastAsia" w:eastAsia="仿宋_GB2312"/>
          <w:sz w:val="32"/>
          <w:szCs w:val="32"/>
        </w:rPr>
      </w:pPr>
    </w:p>
    <w:p>
      <w:pPr>
        <w:tabs>
          <w:tab w:val="left" w:pos="7727"/>
          <w:tab w:val="left" w:pos="7770"/>
        </w:tabs>
        <w:spacing w:line="580" w:lineRule="exact"/>
        <w:ind w:firstLine="640" w:firstLineChars="200"/>
        <w:rPr>
          <w:rFonts w:hint="eastAsia" w:eastAsia="仿宋_GB2312"/>
          <w:sz w:val="32"/>
          <w:szCs w:val="32"/>
        </w:rPr>
      </w:pPr>
    </w:p>
    <w:p>
      <w:pPr>
        <w:tabs>
          <w:tab w:val="left" w:pos="7727"/>
          <w:tab w:val="left" w:pos="7770"/>
        </w:tabs>
        <w:spacing w:line="580" w:lineRule="exact"/>
        <w:ind w:firstLine="640" w:firstLineChars="200"/>
        <w:rPr>
          <w:rFonts w:hint="eastAsia" w:eastAsia="仿宋_GB2312"/>
          <w:sz w:val="32"/>
          <w:szCs w:val="32"/>
        </w:rPr>
      </w:pPr>
    </w:p>
    <w:p>
      <w:pPr>
        <w:tabs>
          <w:tab w:val="left" w:pos="7727"/>
          <w:tab w:val="left" w:pos="7770"/>
        </w:tabs>
        <w:spacing w:line="580" w:lineRule="exact"/>
        <w:ind w:firstLine="640" w:firstLineChars="200"/>
        <w:rPr>
          <w:rFonts w:hint="eastAsia" w:eastAsia="仿宋_GB2312"/>
          <w:sz w:val="32"/>
          <w:szCs w:val="32"/>
        </w:rPr>
      </w:pPr>
    </w:p>
    <w:p>
      <w:pPr>
        <w:tabs>
          <w:tab w:val="left" w:pos="7727"/>
          <w:tab w:val="left" w:pos="7770"/>
        </w:tabs>
        <w:spacing w:line="580" w:lineRule="exact"/>
        <w:ind w:firstLine="640" w:firstLineChars="200"/>
        <w:rPr>
          <w:rFonts w:hint="eastAsia" w:eastAsia="仿宋_GB2312"/>
          <w:sz w:val="32"/>
          <w:szCs w:val="32"/>
        </w:rPr>
      </w:pPr>
    </w:p>
    <w:p>
      <w:pPr>
        <w:tabs>
          <w:tab w:val="left" w:pos="7727"/>
          <w:tab w:val="left" w:pos="7770"/>
        </w:tabs>
        <w:spacing w:line="580" w:lineRule="exact"/>
        <w:ind w:firstLine="640" w:firstLineChars="200"/>
        <w:rPr>
          <w:rFonts w:hint="eastAsia" w:eastAsia="仿宋_GB2312"/>
          <w:sz w:val="32"/>
          <w:szCs w:val="32"/>
        </w:rPr>
      </w:pPr>
    </w:p>
    <w:p>
      <w:pPr>
        <w:tabs>
          <w:tab w:val="left" w:pos="7727"/>
          <w:tab w:val="left" w:pos="7770"/>
        </w:tabs>
        <w:spacing w:line="580" w:lineRule="exact"/>
        <w:ind w:firstLine="640" w:firstLineChars="200"/>
        <w:rPr>
          <w:rFonts w:hint="eastAsia" w:eastAsia="仿宋_GB2312"/>
          <w:sz w:val="32"/>
          <w:szCs w:val="32"/>
        </w:rPr>
      </w:pPr>
    </w:p>
    <w:p>
      <w:pPr>
        <w:tabs>
          <w:tab w:val="left" w:pos="7727"/>
          <w:tab w:val="left" w:pos="7770"/>
        </w:tabs>
        <w:spacing w:line="580" w:lineRule="exact"/>
        <w:ind w:firstLine="640" w:firstLineChars="200"/>
        <w:rPr>
          <w:rFonts w:hint="eastAsia" w:eastAsia="仿宋_GB2312"/>
          <w:sz w:val="32"/>
          <w:szCs w:val="32"/>
        </w:rPr>
      </w:pPr>
    </w:p>
    <w:p>
      <w:pPr>
        <w:tabs>
          <w:tab w:val="left" w:pos="7727"/>
          <w:tab w:val="left" w:pos="7770"/>
        </w:tabs>
        <w:spacing w:line="580" w:lineRule="exact"/>
        <w:ind w:firstLine="640" w:firstLineChars="200"/>
        <w:rPr>
          <w:rFonts w:hint="eastAsia" w:eastAsia="仿宋_GB2312"/>
          <w:sz w:val="32"/>
          <w:szCs w:val="32"/>
        </w:rPr>
      </w:pPr>
    </w:p>
    <w:p>
      <w:pPr>
        <w:tabs>
          <w:tab w:val="left" w:pos="7727"/>
          <w:tab w:val="left" w:pos="7770"/>
        </w:tabs>
        <w:spacing w:line="580" w:lineRule="exact"/>
        <w:ind w:firstLine="640" w:firstLineChars="200"/>
        <w:rPr>
          <w:rFonts w:hint="eastAsia" w:eastAsia="仿宋_GB2312"/>
          <w:sz w:val="32"/>
          <w:szCs w:val="32"/>
        </w:rPr>
      </w:pPr>
    </w:p>
    <w:p>
      <w:pPr>
        <w:tabs>
          <w:tab w:val="left" w:pos="7727"/>
          <w:tab w:val="left" w:pos="7770"/>
        </w:tabs>
        <w:spacing w:line="580" w:lineRule="exact"/>
        <w:ind w:firstLine="640" w:firstLineChars="200"/>
        <w:rPr>
          <w:rFonts w:hint="eastAsia" w:eastAsia="仿宋_GB2312"/>
          <w:sz w:val="32"/>
          <w:szCs w:val="32"/>
        </w:rPr>
      </w:pPr>
    </w:p>
    <w:p>
      <w:pPr>
        <w:tabs>
          <w:tab w:val="left" w:pos="7727"/>
          <w:tab w:val="left" w:pos="7770"/>
        </w:tabs>
        <w:spacing w:line="580" w:lineRule="exact"/>
        <w:ind w:firstLine="640" w:firstLineChars="200"/>
        <w:rPr>
          <w:rFonts w:hint="eastAsia" w:eastAsia="仿宋_GB2312"/>
          <w:sz w:val="32"/>
          <w:szCs w:val="32"/>
        </w:rPr>
      </w:pPr>
    </w:p>
    <w:p>
      <w:pPr>
        <w:tabs>
          <w:tab w:val="left" w:pos="7727"/>
          <w:tab w:val="left" w:pos="7770"/>
        </w:tabs>
        <w:spacing w:line="580" w:lineRule="exact"/>
        <w:ind w:firstLine="640" w:firstLineChars="200"/>
        <w:rPr>
          <w:rFonts w:hint="eastAsia" w:eastAsia="仿宋_GB2312"/>
          <w:sz w:val="32"/>
          <w:szCs w:val="32"/>
        </w:rPr>
      </w:pPr>
    </w:p>
    <w:p>
      <w:pPr>
        <w:tabs>
          <w:tab w:val="left" w:pos="7727"/>
          <w:tab w:val="left" w:pos="7770"/>
        </w:tabs>
        <w:spacing w:line="580" w:lineRule="exact"/>
        <w:ind w:firstLine="640" w:firstLineChars="200"/>
        <w:rPr>
          <w:rFonts w:hint="eastAsia" w:eastAsia="仿宋_GB2312"/>
          <w:sz w:val="32"/>
          <w:szCs w:val="32"/>
        </w:rPr>
      </w:pPr>
    </w:p>
    <w:p>
      <w:pPr>
        <w:tabs>
          <w:tab w:val="left" w:pos="7727"/>
          <w:tab w:val="left" w:pos="7770"/>
        </w:tabs>
        <w:spacing w:line="580" w:lineRule="exact"/>
        <w:ind w:firstLine="640" w:firstLineChars="200"/>
        <w:rPr>
          <w:rFonts w:hint="eastAsia" w:eastAsia="仿宋_GB2312"/>
          <w:sz w:val="32"/>
          <w:szCs w:val="32"/>
        </w:rPr>
      </w:pPr>
    </w:p>
    <w:p>
      <w:pPr>
        <w:tabs>
          <w:tab w:val="left" w:pos="7727"/>
          <w:tab w:val="left" w:pos="7770"/>
        </w:tabs>
        <w:spacing w:line="580" w:lineRule="exact"/>
        <w:ind w:firstLine="640" w:firstLineChars="200"/>
        <w:rPr>
          <w:rFonts w:hint="eastAsia"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220" w:lineRule="exact"/>
        <w:ind w:firstLine="640" w:firstLineChars="200"/>
        <w:rPr>
          <w:rFonts w:eastAsia="仿宋_GB2312"/>
          <w:sz w:val="32"/>
          <w:szCs w:val="32"/>
        </w:rPr>
      </w:pPr>
    </w:p>
    <w:p>
      <w:pPr>
        <w:tabs>
          <w:tab w:val="left" w:pos="7727"/>
          <w:tab w:val="left" w:pos="7770"/>
        </w:tabs>
        <w:spacing w:line="160" w:lineRule="exact"/>
        <w:ind w:firstLine="640" w:firstLineChars="200"/>
        <w:rPr>
          <w:rFonts w:eastAsia="仿宋_GB2312"/>
          <w:sz w:val="32"/>
          <w:szCs w:val="32"/>
        </w:rPr>
      </w:pPr>
    </w:p>
    <w:p>
      <w:pPr>
        <w:tabs>
          <w:tab w:val="left" w:pos="7727"/>
          <w:tab w:val="left" w:pos="7770"/>
        </w:tabs>
        <w:spacing w:line="160" w:lineRule="exact"/>
        <w:ind w:firstLine="640" w:firstLineChars="200"/>
        <w:rPr>
          <w:rFonts w:eastAsia="仿宋_GB2312"/>
          <w:sz w:val="32"/>
          <w:szCs w:val="32"/>
        </w:rPr>
      </w:pPr>
    </w:p>
    <w:p>
      <w:pPr>
        <w:pStyle w:val="17"/>
        <w:spacing w:line="340" w:lineRule="exact"/>
        <w:jc w:val="both"/>
        <w:rPr>
          <w:rFonts w:ascii="Times New Roman" w:hAnsi="Times New Roman" w:eastAsia="仿宋_GB2312"/>
          <w:b/>
          <w:spacing w:val="-16"/>
          <w:sz w:val="30"/>
          <w:szCs w:val="30"/>
        </w:rPr>
      </w:pPr>
      <w:r>
        <w:rPr>
          <w:rFonts w:ascii="Times New Roman" w:hAnsi="Times New Roman" w:eastAsia="仿宋_GB2312"/>
          <w:b/>
          <w:spacing w:val="-16"/>
          <w:sz w:val="30"/>
          <w:szCs w:val="30"/>
        </w:rPr>
        <w:t>———————————————————————————————</w:t>
      </w:r>
    </w:p>
    <w:p>
      <w:pPr>
        <w:widowControl/>
        <w:spacing w:line="340" w:lineRule="atLeast"/>
        <w:ind w:right="210" w:firstLine="280"/>
        <w:rPr>
          <w:rFonts w:eastAsia="仿宋_GB2312"/>
          <w:spacing w:val="-4"/>
          <w:kern w:val="0"/>
          <w:sz w:val="28"/>
          <w:szCs w:val="28"/>
        </w:rPr>
      </w:pPr>
      <w:r>
        <w:rPr>
          <w:rFonts w:eastAsia="仿宋_GB2312"/>
          <w:spacing w:val="8"/>
          <w:kern w:val="0"/>
          <w:sz w:val="28"/>
          <w:szCs w:val="28"/>
        </w:rPr>
        <w:t>抄送：区</w:t>
      </w:r>
      <w:r>
        <w:rPr>
          <w:rFonts w:eastAsia="仿宋_GB2312"/>
          <w:spacing w:val="-4"/>
          <w:kern w:val="0"/>
          <w:sz w:val="28"/>
          <w:szCs w:val="28"/>
        </w:rPr>
        <w:t>委办，区人大办，区政协办，区纪委办，区人武部，区法院，</w:t>
      </w:r>
    </w:p>
    <w:p>
      <w:pPr>
        <w:widowControl/>
        <w:rPr>
          <w:rFonts w:eastAsia="仿宋_GB2312"/>
          <w:sz w:val="28"/>
          <w:szCs w:val="28"/>
        </w:rPr>
      </w:pPr>
      <w:r>
        <w:rPr>
          <w:rFonts w:eastAsia="仿宋_GB2312"/>
          <w:kern w:val="0"/>
          <w:sz w:val="28"/>
          <w:szCs w:val="28"/>
        </w:rPr>
        <w:t xml:space="preserve"> </w:t>
      </w:r>
      <w:r>
        <w:rPr>
          <w:rFonts w:eastAsia="仿宋_GB2312"/>
          <w:spacing w:val="6"/>
          <w:kern w:val="0"/>
          <w:sz w:val="28"/>
          <w:szCs w:val="28"/>
        </w:rPr>
        <w:t xml:space="preserve">   </w:t>
      </w:r>
      <w:r>
        <w:rPr>
          <w:rFonts w:eastAsia="仿宋_GB2312"/>
          <w:kern w:val="0"/>
          <w:sz w:val="28"/>
          <w:szCs w:val="28"/>
        </w:rPr>
        <w:t xml:space="preserve">  </w:t>
      </w:r>
      <w:r>
        <w:rPr>
          <w:rFonts w:eastAsia="仿宋_GB2312"/>
          <w:spacing w:val="4"/>
          <w:kern w:val="0"/>
          <w:sz w:val="28"/>
          <w:szCs w:val="28"/>
        </w:rPr>
        <w:t xml:space="preserve">  </w:t>
      </w:r>
      <w:r>
        <w:rPr>
          <w:rFonts w:eastAsia="仿宋_GB2312"/>
          <w:kern w:val="0"/>
          <w:sz w:val="28"/>
          <w:szCs w:val="28"/>
        </w:rPr>
        <w:t>区检察院</w:t>
      </w:r>
      <w:r>
        <w:rPr>
          <w:rFonts w:eastAsia="仿宋_GB2312"/>
          <w:sz w:val="28"/>
          <w:szCs w:val="28"/>
        </w:rPr>
        <w:t>。</w:t>
      </w:r>
    </w:p>
    <w:p>
      <w:pPr>
        <w:pStyle w:val="17"/>
        <w:spacing w:line="340" w:lineRule="exact"/>
        <w:jc w:val="both"/>
        <w:rPr>
          <w:rFonts w:ascii="Times New Roman" w:hAnsi="Times New Roman" w:eastAsia="仿宋_GB2312"/>
          <w:spacing w:val="-16"/>
          <w:sz w:val="30"/>
        </w:rPr>
      </w:pPr>
      <w:r>
        <w:rPr>
          <w:rFonts w:ascii="Times New Roman" w:hAnsi="Times New Roman" w:eastAsia="仿宋_GB2312"/>
          <w:spacing w:val="-16"/>
          <w:sz w:val="30"/>
        </w:rPr>
        <w:t>———————————————————————————————</w:t>
      </w:r>
    </w:p>
    <w:p>
      <w:pPr>
        <w:pStyle w:val="17"/>
        <w:spacing w:line="340" w:lineRule="exact"/>
        <w:ind w:firstLine="280" w:firstLineChars="100"/>
        <w:jc w:val="both"/>
        <w:rPr>
          <w:rFonts w:ascii="Times New Roman" w:hAnsi="Times New Roman" w:eastAsia="仿宋_GB2312"/>
          <w:sz w:val="28"/>
          <w:szCs w:val="28"/>
        </w:rPr>
      </w:pPr>
      <w:r>
        <w:rPr>
          <w:rFonts w:ascii="Times New Roman" w:hAnsi="Times New Roman" w:eastAsia="仿宋_GB2312"/>
          <w:sz w:val="28"/>
          <w:szCs w:val="28"/>
        </w:rPr>
        <w:t>周村区人民政府办公室                   2019年4月20日印发</w:t>
      </w:r>
    </w:p>
    <w:p>
      <w:pPr>
        <w:pStyle w:val="17"/>
        <w:spacing w:line="340" w:lineRule="exact"/>
        <w:jc w:val="both"/>
        <w:rPr>
          <w:rFonts w:ascii="Times New Roman" w:hAnsi="Times New Roman" w:eastAsia="仿宋_GB2312"/>
          <w:b/>
          <w:spacing w:val="-16"/>
          <w:sz w:val="30"/>
        </w:rPr>
      </w:pPr>
      <w:r>
        <w:rPr>
          <w:rFonts w:ascii="Times New Roman" w:hAnsi="Times New Roman" w:eastAsia="仿宋_GB2312"/>
          <w:b/>
          <w:spacing w:val="-16"/>
          <w:sz w:val="30"/>
          <w:szCs w:val="30"/>
        </w:rPr>
        <w:t>———————————————————————————————</w:t>
      </w:r>
    </w:p>
    <w:sectPr>
      <w:pgSz w:w="11907" w:h="16840"/>
      <w:pgMar w:top="2036" w:right="1531" w:bottom="1701" w:left="1531" w:header="851" w:footer="1366"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E0003AFF" w:usb1="C0007843"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00"/>
    <w:family w:val="auto"/>
    <w:pitch w:val="default"/>
    <w:sig w:usb0="00000287" w:usb1="080F0000" w:usb2="00000010" w:usb3="00000000" w:csb0="0004009F" w:csb1="00000000"/>
  </w:font>
  <w:font w:name="ˎ̥">
    <w:altName w:val="Times New Roman"/>
    <w:panose1 w:val="020B0604020202020204"/>
    <w:charset w:val="00"/>
    <w:family w:val="roman"/>
    <w:pitch w:val="default"/>
    <w:sig w:usb0="00000000" w:usb1="00000000" w:usb2="00000000" w:usb3="00000000" w:csb0="00040001" w:csb1="00000000"/>
  </w:font>
  <w:font w:name="Tahoma">
    <w:altName w:val="DejaVu Sans"/>
    <w:panose1 w:val="020B0604030504040204"/>
    <w:charset w:val="00"/>
    <w:family w:val="swiss"/>
    <w:pitch w:val="default"/>
    <w:sig w:usb0="E1003EFF" w:usb1="C000605B" w:usb2="00000029" w:usb3="00000000" w:csb0="000101FF" w:csb1="00000000"/>
  </w:font>
  <w:font w:name="Verdana">
    <w:altName w:val="Ubuntu"/>
    <w:panose1 w:val="020B0604030504040204"/>
    <w:charset w:val="00"/>
    <w:family w:val="swiss"/>
    <w:pitch w:val="default"/>
    <w:sig w:usb0="A10006FF" w:usb1="4000205B" w:usb2="00000010"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ind w:right="315" w:rightChars="150" w:firstLine="313" w:firstLineChars="112"/>
      <w:rPr>
        <w:rStyle w:val="27"/>
        <w:rFonts w:hint="eastAsia"/>
        <w:sz w:val="28"/>
        <w:szCs w:val="28"/>
      </w:rPr>
    </w:pPr>
    <w:r>
      <w:rPr>
        <w:rStyle w:val="27"/>
        <w:rFonts w:hint="eastAsia"/>
        <w:sz w:val="28"/>
        <w:szCs w:val="28"/>
      </w:rPr>
      <w:t xml:space="preserve">—  </w:t>
    </w:r>
    <w:r>
      <w:rPr>
        <w:rStyle w:val="27"/>
        <w:sz w:val="28"/>
        <w:szCs w:val="28"/>
      </w:rPr>
      <w:fldChar w:fldCharType="begin"/>
    </w:r>
    <w:r>
      <w:rPr>
        <w:rStyle w:val="27"/>
        <w:sz w:val="28"/>
        <w:szCs w:val="28"/>
      </w:rPr>
      <w:instrText xml:space="preserve">PAGE  </w:instrText>
    </w:r>
    <w:r>
      <w:rPr>
        <w:rStyle w:val="27"/>
        <w:sz w:val="28"/>
        <w:szCs w:val="28"/>
      </w:rPr>
      <w:fldChar w:fldCharType="separate"/>
    </w:r>
    <w:r>
      <w:rPr>
        <w:rStyle w:val="27"/>
        <w:sz w:val="28"/>
        <w:szCs w:val="28"/>
        <w:lang/>
      </w:rPr>
      <w:t>1</w:t>
    </w:r>
    <w:r>
      <w:rPr>
        <w:rStyle w:val="27"/>
        <w:sz w:val="28"/>
        <w:szCs w:val="28"/>
      </w:rPr>
      <w:fldChar w:fldCharType="end"/>
    </w:r>
    <w:r>
      <w:rPr>
        <w:rStyle w:val="27"/>
        <w:rFonts w:hint="eastAsia"/>
        <w:sz w:val="28"/>
        <w:szCs w:val="28"/>
      </w:rPr>
      <w:t xml:space="preserve">  —</w:t>
    </w:r>
  </w:p>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7"/>
      </w:rPr>
    </w:pPr>
    <w:r>
      <w:rPr>
        <w:rStyle w:val="27"/>
      </w:rPr>
      <w:fldChar w:fldCharType="begin"/>
    </w:r>
    <w:r>
      <w:rPr>
        <w:rStyle w:val="27"/>
      </w:rPr>
      <w:instrText xml:space="preserve">PAGE  </w:instrText>
    </w:r>
    <w:r>
      <w:rPr>
        <w:rStyle w:val="27"/>
      </w:rP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ind w:right="168" w:rightChars="80" w:firstLine="280" w:firstLineChars="100"/>
      <w:rPr>
        <w:rStyle w:val="27"/>
        <w:rFonts w:hint="eastAsia"/>
        <w:color w:val="000000"/>
        <w:sz w:val="28"/>
        <w:szCs w:val="28"/>
      </w:rPr>
    </w:pPr>
    <w:r>
      <w:rPr>
        <w:rStyle w:val="27"/>
        <w:rFonts w:hint="eastAsia"/>
        <w:color w:val="000000"/>
        <w:sz w:val="28"/>
        <w:szCs w:val="28"/>
      </w:rPr>
      <w:t xml:space="preserve">—  </w:t>
    </w:r>
    <w:r>
      <w:rPr>
        <w:color w:val="000000"/>
        <w:sz w:val="28"/>
        <w:szCs w:val="28"/>
      </w:rPr>
      <w:fldChar w:fldCharType="begin"/>
    </w:r>
    <w:r>
      <w:rPr>
        <w:rStyle w:val="27"/>
        <w:color w:val="000000"/>
        <w:sz w:val="28"/>
        <w:szCs w:val="28"/>
      </w:rPr>
      <w:instrText xml:space="preserve">PAGE  </w:instrText>
    </w:r>
    <w:r>
      <w:rPr>
        <w:color w:val="000000"/>
        <w:sz w:val="28"/>
        <w:szCs w:val="28"/>
      </w:rPr>
      <w:fldChar w:fldCharType="separate"/>
    </w:r>
    <w:r>
      <w:rPr>
        <w:rStyle w:val="27"/>
        <w:color w:val="000000"/>
        <w:sz w:val="28"/>
        <w:szCs w:val="28"/>
        <w:lang/>
      </w:rPr>
      <w:t>2</w:t>
    </w:r>
    <w:r>
      <w:rPr>
        <w:color w:val="000000"/>
        <w:sz w:val="28"/>
        <w:szCs w:val="28"/>
      </w:rPr>
      <w:fldChar w:fldCharType="end"/>
    </w:r>
    <w:r>
      <w:rPr>
        <w:rStyle w:val="27"/>
        <w:rFonts w:hint="eastAsia"/>
        <w:color w:val="000000"/>
        <w:sz w:val="28"/>
        <w:szCs w:val="28"/>
      </w:rPr>
      <w:t xml:space="preserve">  —</w:t>
    </w:r>
  </w:p>
  <w:p>
    <w:pPr>
      <w:pStyle w:val="1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7"/>
      </w:rPr>
    </w:pPr>
    <w:r>
      <w:fldChar w:fldCharType="begin"/>
    </w:r>
    <w:r>
      <w:rPr>
        <w:rStyle w:val="27"/>
      </w:rPr>
      <w:instrText xml:space="preserve">PAGE  </w:instrText>
    </w:r>
    <w:r>
      <w:fldChar w:fldCharType="separate"/>
    </w:r>
    <w:r>
      <w:fldChar w:fldCharType="end"/>
    </w:r>
  </w:p>
  <w:p>
    <w:pPr>
      <w:pStyle w:val="1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D3"/>
    <w:rsid w:val="00000FA0"/>
    <w:rsid w:val="00001BD0"/>
    <w:rsid w:val="00002109"/>
    <w:rsid w:val="0000237F"/>
    <w:rsid w:val="00002582"/>
    <w:rsid w:val="000044DF"/>
    <w:rsid w:val="00005623"/>
    <w:rsid w:val="000071E3"/>
    <w:rsid w:val="00010671"/>
    <w:rsid w:val="000135F1"/>
    <w:rsid w:val="00014696"/>
    <w:rsid w:val="00014ABD"/>
    <w:rsid w:val="000152EC"/>
    <w:rsid w:val="00015E27"/>
    <w:rsid w:val="00016E8F"/>
    <w:rsid w:val="00017521"/>
    <w:rsid w:val="000175EF"/>
    <w:rsid w:val="000206C2"/>
    <w:rsid w:val="00020F37"/>
    <w:rsid w:val="00022766"/>
    <w:rsid w:val="0002304B"/>
    <w:rsid w:val="00023FA6"/>
    <w:rsid w:val="00024556"/>
    <w:rsid w:val="00032AD0"/>
    <w:rsid w:val="00033C58"/>
    <w:rsid w:val="00034EF8"/>
    <w:rsid w:val="000369C3"/>
    <w:rsid w:val="00036EAB"/>
    <w:rsid w:val="0004009E"/>
    <w:rsid w:val="000403AB"/>
    <w:rsid w:val="000418EE"/>
    <w:rsid w:val="00044448"/>
    <w:rsid w:val="00045CDE"/>
    <w:rsid w:val="00046EC4"/>
    <w:rsid w:val="00052915"/>
    <w:rsid w:val="0005319A"/>
    <w:rsid w:val="00053886"/>
    <w:rsid w:val="00054A13"/>
    <w:rsid w:val="00055D5E"/>
    <w:rsid w:val="000563BD"/>
    <w:rsid w:val="00057778"/>
    <w:rsid w:val="0006046C"/>
    <w:rsid w:val="000609F9"/>
    <w:rsid w:val="000626FB"/>
    <w:rsid w:val="00062853"/>
    <w:rsid w:val="00063B41"/>
    <w:rsid w:val="00063BA8"/>
    <w:rsid w:val="00065C59"/>
    <w:rsid w:val="00065CE5"/>
    <w:rsid w:val="00071EE9"/>
    <w:rsid w:val="00071FF8"/>
    <w:rsid w:val="00072FE7"/>
    <w:rsid w:val="00074765"/>
    <w:rsid w:val="00075B18"/>
    <w:rsid w:val="0007736A"/>
    <w:rsid w:val="00081DA2"/>
    <w:rsid w:val="00081EAD"/>
    <w:rsid w:val="00082263"/>
    <w:rsid w:val="000824D9"/>
    <w:rsid w:val="0008332F"/>
    <w:rsid w:val="00083916"/>
    <w:rsid w:val="00083D2E"/>
    <w:rsid w:val="00084EE4"/>
    <w:rsid w:val="000878C6"/>
    <w:rsid w:val="00087C01"/>
    <w:rsid w:val="000905AA"/>
    <w:rsid w:val="00091ABD"/>
    <w:rsid w:val="00093802"/>
    <w:rsid w:val="00093D35"/>
    <w:rsid w:val="00095E62"/>
    <w:rsid w:val="000A0D86"/>
    <w:rsid w:val="000A3A06"/>
    <w:rsid w:val="000A5E94"/>
    <w:rsid w:val="000A6A6F"/>
    <w:rsid w:val="000B059D"/>
    <w:rsid w:val="000B18AB"/>
    <w:rsid w:val="000B4022"/>
    <w:rsid w:val="000B57AF"/>
    <w:rsid w:val="000B5D03"/>
    <w:rsid w:val="000B699C"/>
    <w:rsid w:val="000B7218"/>
    <w:rsid w:val="000B79E8"/>
    <w:rsid w:val="000C045D"/>
    <w:rsid w:val="000C2B92"/>
    <w:rsid w:val="000C373C"/>
    <w:rsid w:val="000C3CD0"/>
    <w:rsid w:val="000C4AF5"/>
    <w:rsid w:val="000C594C"/>
    <w:rsid w:val="000C6EF0"/>
    <w:rsid w:val="000C7FAD"/>
    <w:rsid w:val="000D1B0E"/>
    <w:rsid w:val="000D2043"/>
    <w:rsid w:val="000D3333"/>
    <w:rsid w:val="000D33A0"/>
    <w:rsid w:val="000D4668"/>
    <w:rsid w:val="000D4D1A"/>
    <w:rsid w:val="000D51B8"/>
    <w:rsid w:val="000D5214"/>
    <w:rsid w:val="000D567D"/>
    <w:rsid w:val="000D7442"/>
    <w:rsid w:val="000E143C"/>
    <w:rsid w:val="000E1B24"/>
    <w:rsid w:val="000E259B"/>
    <w:rsid w:val="000E2982"/>
    <w:rsid w:val="000E5222"/>
    <w:rsid w:val="000E5D6B"/>
    <w:rsid w:val="000F03F4"/>
    <w:rsid w:val="000F3DBC"/>
    <w:rsid w:val="000F3E2E"/>
    <w:rsid w:val="000F3FB2"/>
    <w:rsid w:val="000F40E7"/>
    <w:rsid w:val="000F5F93"/>
    <w:rsid w:val="000F6443"/>
    <w:rsid w:val="000F6D2F"/>
    <w:rsid w:val="000F75AC"/>
    <w:rsid w:val="001071D7"/>
    <w:rsid w:val="001112D6"/>
    <w:rsid w:val="00112045"/>
    <w:rsid w:val="00112554"/>
    <w:rsid w:val="00112C21"/>
    <w:rsid w:val="00112EC1"/>
    <w:rsid w:val="001132E6"/>
    <w:rsid w:val="001145A4"/>
    <w:rsid w:val="001158E5"/>
    <w:rsid w:val="00115924"/>
    <w:rsid w:val="001176A9"/>
    <w:rsid w:val="0012293C"/>
    <w:rsid w:val="00123D20"/>
    <w:rsid w:val="00124B71"/>
    <w:rsid w:val="0012659A"/>
    <w:rsid w:val="00127EFB"/>
    <w:rsid w:val="00130BEF"/>
    <w:rsid w:val="00131265"/>
    <w:rsid w:val="0013170A"/>
    <w:rsid w:val="00136A43"/>
    <w:rsid w:val="00137A24"/>
    <w:rsid w:val="00137B9E"/>
    <w:rsid w:val="00137CCD"/>
    <w:rsid w:val="00140919"/>
    <w:rsid w:val="001422A8"/>
    <w:rsid w:val="00142AC3"/>
    <w:rsid w:val="00142E04"/>
    <w:rsid w:val="00143559"/>
    <w:rsid w:val="0014386C"/>
    <w:rsid w:val="00144597"/>
    <w:rsid w:val="0014500F"/>
    <w:rsid w:val="0014526F"/>
    <w:rsid w:val="001503B6"/>
    <w:rsid w:val="001504E9"/>
    <w:rsid w:val="0015314D"/>
    <w:rsid w:val="0015316B"/>
    <w:rsid w:val="0015760D"/>
    <w:rsid w:val="001603AA"/>
    <w:rsid w:val="001616F4"/>
    <w:rsid w:val="00161B14"/>
    <w:rsid w:val="00163E4A"/>
    <w:rsid w:val="00167232"/>
    <w:rsid w:val="0016760E"/>
    <w:rsid w:val="001761DD"/>
    <w:rsid w:val="0017643D"/>
    <w:rsid w:val="00176C86"/>
    <w:rsid w:val="00176E5A"/>
    <w:rsid w:val="00181174"/>
    <w:rsid w:val="00181F7D"/>
    <w:rsid w:val="00184B8B"/>
    <w:rsid w:val="00186C12"/>
    <w:rsid w:val="00187F8C"/>
    <w:rsid w:val="001915DD"/>
    <w:rsid w:val="001922E6"/>
    <w:rsid w:val="00192C9A"/>
    <w:rsid w:val="00192F34"/>
    <w:rsid w:val="00192F86"/>
    <w:rsid w:val="00195CAF"/>
    <w:rsid w:val="00195E56"/>
    <w:rsid w:val="00197BC6"/>
    <w:rsid w:val="00197E2F"/>
    <w:rsid w:val="001A0687"/>
    <w:rsid w:val="001A09DD"/>
    <w:rsid w:val="001A3685"/>
    <w:rsid w:val="001A6140"/>
    <w:rsid w:val="001A700D"/>
    <w:rsid w:val="001B0327"/>
    <w:rsid w:val="001B0AA5"/>
    <w:rsid w:val="001B19E1"/>
    <w:rsid w:val="001B1F5C"/>
    <w:rsid w:val="001B31EF"/>
    <w:rsid w:val="001B344D"/>
    <w:rsid w:val="001B3D6D"/>
    <w:rsid w:val="001B470F"/>
    <w:rsid w:val="001B4DF5"/>
    <w:rsid w:val="001B60B5"/>
    <w:rsid w:val="001B6111"/>
    <w:rsid w:val="001B614A"/>
    <w:rsid w:val="001B7D0A"/>
    <w:rsid w:val="001C15A4"/>
    <w:rsid w:val="001C5EB0"/>
    <w:rsid w:val="001C67E6"/>
    <w:rsid w:val="001C6D3F"/>
    <w:rsid w:val="001C7DED"/>
    <w:rsid w:val="001D0386"/>
    <w:rsid w:val="001D04AF"/>
    <w:rsid w:val="001D0997"/>
    <w:rsid w:val="001D2526"/>
    <w:rsid w:val="001D2E36"/>
    <w:rsid w:val="001D2EAD"/>
    <w:rsid w:val="001D41C7"/>
    <w:rsid w:val="001D4377"/>
    <w:rsid w:val="001D4A67"/>
    <w:rsid w:val="001D4F84"/>
    <w:rsid w:val="001D62C6"/>
    <w:rsid w:val="001D6977"/>
    <w:rsid w:val="001D6C80"/>
    <w:rsid w:val="001D6F15"/>
    <w:rsid w:val="001E0449"/>
    <w:rsid w:val="001E507A"/>
    <w:rsid w:val="001E69FC"/>
    <w:rsid w:val="001F091C"/>
    <w:rsid w:val="001F186D"/>
    <w:rsid w:val="001F1B83"/>
    <w:rsid w:val="001F2057"/>
    <w:rsid w:val="001F20B1"/>
    <w:rsid w:val="001F2752"/>
    <w:rsid w:val="001F3109"/>
    <w:rsid w:val="001F31D3"/>
    <w:rsid w:val="001F3845"/>
    <w:rsid w:val="001F4624"/>
    <w:rsid w:val="001F52A7"/>
    <w:rsid w:val="001F63C1"/>
    <w:rsid w:val="001F6492"/>
    <w:rsid w:val="00200045"/>
    <w:rsid w:val="00202F1C"/>
    <w:rsid w:val="00203114"/>
    <w:rsid w:val="00203696"/>
    <w:rsid w:val="00205F63"/>
    <w:rsid w:val="002069BF"/>
    <w:rsid w:val="002071AD"/>
    <w:rsid w:val="002078A3"/>
    <w:rsid w:val="00211E51"/>
    <w:rsid w:val="00212E77"/>
    <w:rsid w:val="00212F6D"/>
    <w:rsid w:val="00213D40"/>
    <w:rsid w:val="002161B5"/>
    <w:rsid w:val="00216DD1"/>
    <w:rsid w:val="0021761B"/>
    <w:rsid w:val="00217643"/>
    <w:rsid w:val="00217ACE"/>
    <w:rsid w:val="00220797"/>
    <w:rsid w:val="0022474A"/>
    <w:rsid w:val="00226A4A"/>
    <w:rsid w:val="002338FA"/>
    <w:rsid w:val="002354B0"/>
    <w:rsid w:val="00237100"/>
    <w:rsid w:val="00240A17"/>
    <w:rsid w:val="00241170"/>
    <w:rsid w:val="0024318A"/>
    <w:rsid w:val="00244053"/>
    <w:rsid w:val="002441FE"/>
    <w:rsid w:val="00245FDC"/>
    <w:rsid w:val="002469E9"/>
    <w:rsid w:val="00247A7C"/>
    <w:rsid w:val="00250534"/>
    <w:rsid w:val="00250717"/>
    <w:rsid w:val="00250748"/>
    <w:rsid w:val="0025116E"/>
    <w:rsid w:val="002519AC"/>
    <w:rsid w:val="00251AA5"/>
    <w:rsid w:val="00252608"/>
    <w:rsid w:val="00252977"/>
    <w:rsid w:val="00252D60"/>
    <w:rsid w:val="002544B7"/>
    <w:rsid w:val="00257339"/>
    <w:rsid w:val="002576EC"/>
    <w:rsid w:val="00257D5B"/>
    <w:rsid w:val="0026005B"/>
    <w:rsid w:val="002619A5"/>
    <w:rsid w:val="002629F8"/>
    <w:rsid w:val="00262E00"/>
    <w:rsid w:val="00263BCB"/>
    <w:rsid w:val="0026449A"/>
    <w:rsid w:val="00264556"/>
    <w:rsid w:val="002645A7"/>
    <w:rsid w:val="00264797"/>
    <w:rsid w:val="0026633E"/>
    <w:rsid w:val="002666BC"/>
    <w:rsid w:val="00266DF4"/>
    <w:rsid w:val="002700E9"/>
    <w:rsid w:val="0027036E"/>
    <w:rsid w:val="00271BC6"/>
    <w:rsid w:val="00272364"/>
    <w:rsid w:val="00273074"/>
    <w:rsid w:val="002730D2"/>
    <w:rsid w:val="00273326"/>
    <w:rsid w:val="00274219"/>
    <w:rsid w:val="00274CBD"/>
    <w:rsid w:val="00276481"/>
    <w:rsid w:val="00280513"/>
    <w:rsid w:val="00280688"/>
    <w:rsid w:val="00280880"/>
    <w:rsid w:val="0028160C"/>
    <w:rsid w:val="00281671"/>
    <w:rsid w:val="00284615"/>
    <w:rsid w:val="00290923"/>
    <w:rsid w:val="00292012"/>
    <w:rsid w:val="00292AB6"/>
    <w:rsid w:val="00292F7C"/>
    <w:rsid w:val="00293563"/>
    <w:rsid w:val="00294D1B"/>
    <w:rsid w:val="00295451"/>
    <w:rsid w:val="0029714C"/>
    <w:rsid w:val="002A3128"/>
    <w:rsid w:val="002A336E"/>
    <w:rsid w:val="002A4CC3"/>
    <w:rsid w:val="002A52B4"/>
    <w:rsid w:val="002A5363"/>
    <w:rsid w:val="002A7E7A"/>
    <w:rsid w:val="002B08E1"/>
    <w:rsid w:val="002B0958"/>
    <w:rsid w:val="002B0C9B"/>
    <w:rsid w:val="002B0F3B"/>
    <w:rsid w:val="002B22DD"/>
    <w:rsid w:val="002B31BF"/>
    <w:rsid w:val="002B32E1"/>
    <w:rsid w:val="002B4E63"/>
    <w:rsid w:val="002B5CF8"/>
    <w:rsid w:val="002B5D1E"/>
    <w:rsid w:val="002B6300"/>
    <w:rsid w:val="002B73A5"/>
    <w:rsid w:val="002C148C"/>
    <w:rsid w:val="002C1D20"/>
    <w:rsid w:val="002C262D"/>
    <w:rsid w:val="002C382E"/>
    <w:rsid w:val="002C404D"/>
    <w:rsid w:val="002C4E7E"/>
    <w:rsid w:val="002C780E"/>
    <w:rsid w:val="002D051D"/>
    <w:rsid w:val="002D0AF1"/>
    <w:rsid w:val="002D1322"/>
    <w:rsid w:val="002D20A1"/>
    <w:rsid w:val="002D58A0"/>
    <w:rsid w:val="002D63DC"/>
    <w:rsid w:val="002D656B"/>
    <w:rsid w:val="002D6FCA"/>
    <w:rsid w:val="002D76B8"/>
    <w:rsid w:val="002D7E43"/>
    <w:rsid w:val="002E0BE0"/>
    <w:rsid w:val="002E3CE4"/>
    <w:rsid w:val="002E4B16"/>
    <w:rsid w:val="002E54B9"/>
    <w:rsid w:val="002F16D3"/>
    <w:rsid w:val="002F1A8E"/>
    <w:rsid w:val="002F326F"/>
    <w:rsid w:val="002F3B93"/>
    <w:rsid w:val="002F3BAD"/>
    <w:rsid w:val="002F46BB"/>
    <w:rsid w:val="002F4B4D"/>
    <w:rsid w:val="002F5126"/>
    <w:rsid w:val="002F6014"/>
    <w:rsid w:val="002F75F2"/>
    <w:rsid w:val="002F7BE2"/>
    <w:rsid w:val="00300FA5"/>
    <w:rsid w:val="00301F0D"/>
    <w:rsid w:val="003020AF"/>
    <w:rsid w:val="00303A6D"/>
    <w:rsid w:val="00304444"/>
    <w:rsid w:val="00304878"/>
    <w:rsid w:val="003049E3"/>
    <w:rsid w:val="0030594C"/>
    <w:rsid w:val="00306598"/>
    <w:rsid w:val="00307961"/>
    <w:rsid w:val="00310422"/>
    <w:rsid w:val="003138AD"/>
    <w:rsid w:val="00313BE4"/>
    <w:rsid w:val="00313C34"/>
    <w:rsid w:val="00315D05"/>
    <w:rsid w:val="00316080"/>
    <w:rsid w:val="003167A0"/>
    <w:rsid w:val="00320951"/>
    <w:rsid w:val="00320CC1"/>
    <w:rsid w:val="0032321D"/>
    <w:rsid w:val="003265C0"/>
    <w:rsid w:val="00326663"/>
    <w:rsid w:val="00331384"/>
    <w:rsid w:val="00331F89"/>
    <w:rsid w:val="00331FE9"/>
    <w:rsid w:val="00333501"/>
    <w:rsid w:val="00334E88"/>
    <w:rsid w:val="00335C2A"/>
    <w:rsid w:val="00335E8E"/>
    <w:rsid w:val="00337D20"/>
    <w:rsid w:val="00340532"/>
    <w:rsid w:val="00342224"/>
    <w:rsid w:val="003438A0"/>
    <w:rsid w:val="00344731"/>
    <w:rsid w:val="00344A87"/>
    <w:rsid w:val="00345BCC"/>
    <w:rsid w:val="00346708"/>
    <w:rsid w:val="003473A7"/>
    <w:rsid w:val="00350A53"/>
    <w:rsid w:val="00351851"/>
    <w:rsid w:val="003556C3"/>
    <w:rsid w:val="00355A77"/>
    <w:rsid w:val="00355F2C"/>
    <w:rsid w:val="00357325"/>
    <w:rsid w:val="003579C3"/>
    <w:rsid w:val="003606EF"/>
    <w:rsid w:val="0036150D"/>
    <w:rsid w:val="00362066"/>
    <w:rsid w:val="00362796"/>
    <w:rsid w:val="003642D0"/>
    <w:rsid w:val="0036571C"/>
    <w:rsid w:val="00365FC6"/>
    <w:rsid w:val="0036725D"/>
    <w:rsid w:val="0036759F"/>
    <w:rsid w:val="00367B04"/>
    <w:rsid w:val="003702A6"/>
    <w:rsid w:val="0037040A"/>
    <w:rsid w:val="00370424"/>
    <w:rsid w:val="0037106D"/>
    <w:rsid w:val="00372BF4"/>
    <w:rsid w:val="00373250"/>
    <w:rsid w:val="00374056"/>
    <w:rsid w:val="00376BD2"/>
    <w:rsid w:val="003773D5"/>
    <w:rsid w:val="00380076"/>
    <w:rsid w:val="003806B5"/>
    <w:rsid w:val="003824AC"/>
    <w:rsid w:val="003827C5"/>
    <w:rsid w:val="0038638B"/>
    <w:rsid w:val="003871D6"/>
    <w:rsid w:val="00390943"/>
    <w:rsid w:val="00391386"/>
    <w:rsid w:val="00391EC2"/>
    <w:rsid w:val="00392228"/>
    <w:rsid w:val="003931D5"/>
    <w:rsid w:val="00394583"/>
    <w:rsid w:val="003976F1"/>
    <w:rsid w:val="003A1067"/>
    <w:rsid w:val="003A1D80"/>
    <w:rsid w:val="003A232B"/>
    <w:rsid w:val="003A57D3"/>
    <w:rsid w:val="003A677F"/>
    <w:rsid w:val="003A7F78"/>
    <w:rsid w:val="003B1830"/>
    <w:rsid w:val="003B4B4F"/>
    <w:rsid w:val="003B5045"/>
    <w:rsid w:val="003B5397"/>
    <w:rsid w:val="003B5CF7"/>
    <w:rsid w:val="003B72E3"/>
    <w:rsid w:val="003B77BD"/>
    <w:rsid w:val="003C286C"/>
    <w:rsid w:val="003C3463"/>
    <w:rsid w:val="003C34B7"/>
    <w:rsid w:val="003C48BA"/>
    <w:rsid w:val="003C5293"/>
    <w:rsid w:val="003C530C"/>
    <w:rsid w:val="003C601E"/>
    <w:rsid w:val="003C6B7D"/>
    <w:rsid w:val="003C7E3D"/>
    <w:rsid w:val="003D075E"/>
    <w:rsid w:val="003D2363"/>
    <w:rsid w:val="003D55E7"/>
    <w:rsid w:val="003D6E3F"/>
    <w:rsid w:val="003D761E"/>
    <w:rsid w:val="003E04C5"/>
    <w:rsid w:val="003E0649"/>
    <w:rsid w:val="003E06AC"/>
    <w:rsid w:val="003E113E"/>
    <w:rsid w:val="003E1DB1"/>
    <w:rsid w:val="003E2A28"/>
    <w:rsid w:val="003E359F"/>
    <w:rsid w:val="003E3BF0"/>
    <w:rsid w:val="003E573D"/>
    <w:rsid w:val="003E58CF"/>
    <w:rsid w:val="003E5AEB"/>
    <w:rsid w:val="003E5ECB"/>
    <w:rsid w:val="003E6225"/>
    <w:rsid w:val="003E6D0B"/>
    <w:rsid w:val="003E6F62"/>
    <w:rsid w:val="003F1C84"/>
    <w:rsid w:val="003F1EE2"/>
    <w:rsid w:val="003F1FF7"/>
    <w:rsid w:val="003F24A9"/>
    <w:rsid w:val="003F4473"/>
    <w:rsid w:val="004017AC"/>
    <w:rsid w:val="00403371"/>
    <w:rsid w:val="004046EA"/>
    <w:rsid w:val="004048EA"/>
    <w:rsid w:val="00407377"/>
    <w:rsid w:val="004119A3"/>
    <w:rsid w:val="00417F74"/>
    <w:rsid w:val="0042171F"/>
    <w:rsid w:val="00423A01"/>
    <w:rsid w:val="0042692D"/>
    <w:rsid w:val="00427692"/>
    <w:rsid w:val="00427DA7"/>
    <w:rsid w:val="0043109E"/>
    <w:rsid w:val="004316A3"/>
    <w:rsid w:val="004319CB"/>
    <w:rsid w:val="00431A49"/>
    <w:rsid w:val="00432AAF"/>
    <w:rsid w:val="00432BE3"/>
    <w:rsid w:val="00432E3C"/>
    <w:rsid w:val="00434C90"/>
    <w:rsid w:val="00434F7A"/>
    <w:rsid w:val="00436169"/>
    <w:rsid w:val="004363B8"/>
    <w:rsid w:val="00436884"/>
    <w:rsid w:val="00440F02"/>
    <w:rsid w:val="00441D76"/>
    <w:rsid w:val="004426C6"/>
    <w:rsid w:val="00443EB7"/>
    <w:rsid w:val="004448ED"/>
    <w:rsid w:val="00450835"/>
    <w:rsid w:val="004517A1"/>
    <w:rsid w:val="00455406"/>
    <w:rsid w:val="004554D6"/>
    <w:rsid w:val="00462FE4"/>
    <w:rsid w:val="00463E0A"/>
    <w:rsid w:val="0046453A"/>
    <w:rsid w:val="00466D8D"/>
    <w:rsid w:val="00471DF3"/>
    <w:rsid w:val="00471F3C"/>
    <w:rsid w:val="0047415C"/>
    <w:rsid w:val="00474B0F"/>
    <w:rsid w:val="004844A3"/>
    <w:rsid w:val="00484DC2"/>
    <w:rsid w:val="0048585B"/>
    <w:rsid w:val="00485A79"/>
    <w:rsid w:val="004861DE"/>
    <w:rsid w:val="0048646F"/>
    <w:rsid w:val="00487B73"/>
    <w:rsid w:val="00487D91"/>
    <w:rsid w:val="00490AEA"/>
    <w:rsid w:val="004921D0"/>
    <w:rsid w:val="0049323D"/>
    <w:rsid w:val="0049340E"/>
    <w:rsid w:val="00495B2C"/>
    <w:rsid w:val="00496AA4"/>
    <w:rsid w:val="0049724F"/>
    <w:rsid w:val="004A021A"/>
    <w:rsid w:val="004A2163"/>
    <w:rsid w:val="004A3262"/>
    <w:rsid w:val="004A3DAE"/>
    <w:rsid w:val="004A52A8"/>
    <w:rsid w:val="004B3437"/>
    <w:rsid w:val="004B3DD9"/>
    <w:rsid w:val="004B5E63"/>
    <w:rsid w:val="004B6A6E"/>
    <w:rsid w:val="004B6CD4"/>
    <w:rsid w:val="004B79A7"/>
    <w:rsid w:val="004C1156"/>
    <w:rsid w:val="004C54B2"/>
    <w:rsid w:val="004C7AED"/>
    <w:rsid w:val="004D14CB"/>
    <w:rsid w:val="004D30D5"/>
    <w:rsid w:val="004D3840"/>
    <w:rsid w:val="004D3AC8"/>
    <w:rsid w:val="004D4D3A"/>
    <w:rsid w:val="004D550F"/>
    <w:rsid w:val="004D5A52"/>
    <w:rsid w:val="004D5EBB"/>
    <w:rsid w:val="004D64B7"/>
    <w:rsid w:val="004E0586"/>
    <w:rsid w:val="004E076C"/>
    <w:rsid w:val="004E1173"/>
    <w:rsid w:val="004E2006"/>
    <w:rsid w:val="004E3164"/>
    <w:rsid w:val="004E41A0"/>
    <w:rsid w:val="004E6082"/>
    <w:rsid w:val="004E6985"/>
    <w:rsid w:val="004E7101"/>
    <w:rsid w:val="004E7262"/>
    <w:rsid w:val="004E7FC2"/>
    <w:rsid w:val="004F0A6E"/>
    <w:rsid w:val="004F20A9"/>
    <w:rsid w:val="004F3497"/>
    <w:rsid w:val="004F6527"/>
    <w:rsid w:val="004F76E2"/>
    <w:rsid w:val="00500274"/>
    <w:rsid w:val="005006E9"/>
    <w:rsid w:val="00500B0C"/>
    <w:rsid w:val="00502995"/>
    <w:rsid w:val="0050595E"/>
    <w:rsid w:val="00507509"/>
    <w:rsid w:val="005075CD"/>
    <w:rsid w:val="00507C90"/>
    <w:rsid w:val="00507D86"/>
    <w:rsid w:val="00510018"/>
    <w:rsid w:val="00510052"/>
    <w:rsid w:val="0051052A"/>
    <w:rsid w:val="00512401"/>
    <w:rsid w:val="005128E7"/>
    <w:rsid w:val="00513535"/>
    <w:rsid w:val="0051406F"/>
    <w:rsid w:val="00514BB8"/>
    <w:rsid w:val="00514E49"/>
    <w:rsid w:val="0051663D"/>
    <w:rsid w:val="00520C11"/>
    <w:rsid w:val="00520F44"/>
    <w:rsid w:val="00521170"/>
    <w:rsid w:val="00521742"/>
    <w:rsid w:val="00522A44"/>
    <w:rsid w:val="0052439A"/>
    <w:rsid w:val="005250FC"/>
    <w:rsid w:val="005302DF"/>
    <w:rsid w:val="00531A88"/>
    <w:rsid w:val="00531D64"/>
    <w:rsid w:val="00531E9A"/>
    <w:rsid w:val="005328E6"/>
    <w:rsid w:val="0053339A"/>
    <w:rsid w:val="0053368D"/>
    <w:rsid w:val="00534331"/>
    <w:rsid w:val="00534B38"/>
    <w:rsid w:val="00537E63"/>
    <w:rsid w:val="00540721"/>
    <w:rsid w:val="00541CB2"/>
    <w:rsid w:val="00542FE1"/>
    <w:rsid w:val="0054333B"/>
    <w:rsid w:val="00543CBD"/>
    <w:rsid w:val="005440E2"/>
    <w:rsid w:val="00544235"/>
    <w:rsid w:val="00544C06"/>
    <w:rsid w:val="00546002"/>
    <w:rsid w:val="005538C1"/>
    <w:rsid w:val="00554767"/>
    <w:rsid w:val="00556A20"/>
    <w:rsid w:val="00557409"/>
    <w:rsid w:val="00557585"/>
    <w:rsid w:val="00557A1B"/>
    <w:rsid w:val="0056036E"/>
    <w:rsid w:val="00563855"/>
    <w:rsid w:val="00563B45"/>
    <w:rsid w:val="00564EC5"/>
    <w:rsid w:val="0057162C"/>
    <w:rsid w:val="005725C8"/>
    <w:rsid w:val="005730A3"/>
    <w:rsid w:val="005738E1"/>
    <w:rsid w:val="005763A3"/>
    <w:rsid w:val="00576D71"/>
    <w:rsid w:val="00577A86"/>
    <w:rsid w:val="00577CF3"/>
    <w:rsid w:val="00580CCC"/>
    <w:rsid w:val="00581452"/>
    <w:rsid w:val="005814E2"/>
    <w:rsid w:val="005819D3"/>
    <w:rsid w:val="005829C6"/>
    <w:rsid w:val="00582C60"/>
    <w:rsid w:val="00584D67"/>
    <w:rsid w:val="00585393"/>
    <w:rsid w:val="00585C47"/>
    <w:rsid w:val="0058666E"/>
    <w:rsid w:val="00592555"/>
    <w:rsid w:val="00593BA6"/>
    <w:rsid w:val="00594A47"/>
    <w:rsid w:val="005955AB"/>
    <w:rsid w:val="00595841"/>
    <w:rsid w:val="00596E00"/>
    <w:rsid w:val="005976AF"/>
    <w:rsid w:val="005977AD"/>
    <w:rsid w:val="005A0B14"/>
    <w:rsid w:val="005A3756"/>
    <w:rsid w:val="005A3B5A"/>
    <w:rsid w:val="005A4989"/>
    <w:rsid w:val="005B0832"/>
    <w:rsid w:val="005B1D2A"/>
    <w:rsid w:val="005B41B5"/>
    <w:rsid w:val="005B4B30"/>
    <w:rsid w:val="005C04BC"/>
    <w:rsid w:val="005C2177"/>
    <w:rsid w:val="005C76DE"/>
    <w:rsid w:val="005C7EE2"/>
    <w:rsid w:val="005D09A5"/>
    <w:rsid w:val="005D1C7D"/>
    <w:rsid w:val="005D1FE0"/>
    <w:rsid w:val="005D2B3E"/>
    <w:rsid w:val="005D3649"/>
    <w:rsid w:val="005D3A85"/>
    <w:rsid w:val="005D3BF4"/>
    <w:rsid w:val="005D41CA"/>
    <w:rsid w:val="005D57E7"/>
    <w:rsid w:val="005D5838"/>
    <w:rsid w:val="005E02F5"/>
    <w:rsid w:val="005E06DC"/>
    <w:rsid w:val="005E0D8A"/>
    <w:rsid w:val="005E1413"/>
    <w:rsid w:val="005E25D2"/>
    <w:rsid w:val="005E25FE"/>
    <w:rsid w:val="005E418C"/>
    <w:rsid w:val="005E5791"/>
    <w:rsid w:val="005E6814"/>
    <w:rsid w:val="005F221D"/>
    <w:rsid w:val="005F3180"/>
    <w:rsid w:val="005F3575"/>
    <w:rsid w:val="005F5CDE"/>
    <w:rsid w:val="005F622E"/>
    <w:rsid w:val="005F666E"/>
    <w:rsid w:val="005F732B"/>
    <w:rsid w:val="0060113A"/>
    <w:rsid w:val="0060329E"/>
    <w:rsid w:val="00603E81"/>
    <w:rsid w:val="00603F31"/>
    <w:rsid w:val="00605522"/>
    <w:rsid w:val="00607841"/>
    <w:rsid w:val="006103EA"/>
    <w:rsid w:val="00610710"/>
    <w:rsid w:val="00612A02"/>
    <w:rsid w:val="00612E1E"/>
    <w:rsid w:val="00614047"/>
    <w:rsid w:val="00616DD2"/>
    <w:rsid w:val="006226EF"/>
    <w:rsid w:val="006231F7"/>
    <w:rsid w:val="00623842"/>
    <w:rsid w:val="00623F8A"/>
    <w:rsid w:val="006246C3"/>
    <w:rsid w:val="0062496E"/>
    <w:rsid w:val="006262D4"/>
    <w:rsid w:val="006265E3"/>
    <w:rsid w:val="00626E1F"/>
    <w:rsid w:val="00630BBF"/>
    <w:rsid w:val="00631562"/>
    <w:rsid w:val="00634C10"/>
    <w:rsid w:val="00636652"/>
    <w:rsid w:val="006370F6"/>
    <w:rsid w:val="006378E7"/>
    <w:rsid w:val="00642F06"/>
    <w:rsid w:val="00644750"/>
    <w:rsid w:val="00644810"/>
    <w:rsid w:val="00645396"/>
    <w:rsid w:val="006459A7"/>
    <w:rsid w:val="0064657A"/>
    <w:rsid w:val="00647553"/>
    <w:rsid w:val="006510CE"/>
    <w:rsid w:val="006515FB"/>
    <w:rsid w:val="00651A0A"/>
    <w:rsid w:val="0066035A"/>
    <w:rsid w:val="00660C1F"/>
    <w:rsid w:val="00662756"/>
    <w:rsid w:val="00663C95"/>
    <w:rsid w:val="00665618"/>
    <w:rsid w:val="00666C1C"/>
    <w:rsid w:val="0067041C"/>
    <w:rsid w:val="00670FF1"/>
    <w:rsid w:val="00671AA3"/>
    <w:rsid w:val="00672A9F"/>
    <w:rsid w:val="00674FFB"/>
    <w:rsid w:val="00676DD7"/>
    <w:rsid w:val="00676FE3"/>
    <w:rsid w:val="0067703F"/>
    <w:rsid w:val="006777AB"/>
    <w:rsid w:val="006810F6"/>
    <w:rsid w:val="00683612"/>
    <w:rsid w:val="006858F4"/>
    <w:rsid w:val="00685CF0"/>
    <w:rsid w:val="0068664C"/>
    <w:rsid w:val="00687BDB"/>
    <w:rsid w:val="00690A01"/>
    <w:rsid w:val="00693DE9"/>
    <w:rsid w:val="00695F58"/>
    <w:rsid w:val="00696A97"/>
    <w:rsid w:val="00697A72"/>
    <w:rsid w:val="00697B9E"/>
    <w:rsid w:val="006A1C59"/>
    <w:rsid w:val="006A2642"/>
    <w:rsid w:val="006A3648"/>
    <w:rsid w:val="006A3FDD"/>
    <w:rsid w:val="006A4142"/>
    <w:rsid w:val="006A537D"/>
    <w:rsid w:val="006A541E"/>
    <w:rsid w:val="006A617A"/>
    <w:rsid w:val="006A6834"/>
    <w:rsid w:val="006A6A6B"/>
    <w:rsid w:val="006A6D74"/>
    <w:rsid w:val="006B0BD5"/>
    <w:rsid w:val="006B1942"/>
    <w:rsid w:val="006B1FB5"/>
    <w:rsid w:val="006B222F"/>
    <w:rsid w:val="006B26CA"/>
    <w:rsid w:val="006B42CE"/>
    <w:rsid w:val="006B49E7"/>
    <w:rsid w:val="006B4F0E"/>
    <w:rsid w:val="006B67B5"/>
    <w:rsid w:val="006B687B"/>
    <w:rsid w:val="006B6C29"/>
    <w:rsid w:val="006B7C49"/>
    <w:rsid w:val="006C0845"/>
    <w:rsid w:val="006C2C44"/>
    <w:rsid w:val="006C3706"/>
    <w:rsid w:val="006C43B7"/>
    <w:rsid w:val="006C6EA8"/>
    <w:rsid w:val="006D23E4"/>
    <w:rsid w:val="006D2834"/>
    <w:rsid w:val="006D40D3"/>
    <w:rsid w:val="006D5FC7"/>
    <w:rsid w:val="006D652B"/>
    <w:rsid w:val="006E1707"/>
    <w:rsid w:val="006E65DC"/>
    <w:rsid w:val="006F07B7"/>
    <w:rsid w:val="006F26AB"/>
    <w:rsid w:val="006F6421"/>
    <w:rsid w:val="006F65A8"/>
    <w:rsid w:val="006F773B"/>
    <w:rsid w:val="00702293"/>
    <w:rsid w:val="00703386"/>
    <w:rsid w:val="007033C5"/>
    <w:rsid w:val="007047B8"/>
    <w:rsid w:val="00705148"/>
    <w:rsid w:val="00706925"/>
    <w:rsid w:val="00706A32"/>
    <w:rsid w:val="00706B1D"/>
    <w:rsid w:val="00707FBC"/>
    <w:rsid w:val="007101CD"/>
    <w:rsid w:val="007111BB"/>
    <w:rsid w:val="007112E0"/>
    <w:rsid w:val="0071138E"/>
    <w:rsid w:val="00711A40"/>
    <w:rsid w:val="00717430"/>
    <w:rsid w:val="0072098A"/>
    <w:rsid w:val="007209DE"/>
    <w:rsid w:val="00722532"/>
    <w:rsid w:val="00722A23"/>
    <w:rsid w:val="007250E3"/>
    <w:rsid w:val="0072555D"/>
    <w:rsid w:val="0072579E"/>
    <w:rsid w:val="00726BBC"/>
    <w:rsid w:val="007275D8"/>
    <w:rsid w:val="00737450"/>
    <w:rsid w:val="007434E0"/>
    <w:rsid w:val="00743619"/>
    <w:rsid w:val="00744170"/>
    <w:rsid w:val="007462F9"/>
    <w:rsid w:val="00746429"/>
    <w:rsid w:val="0074715E"/>
    <w:rsid w:val="007474E7"/>
    <w:rsid w:val="00747EB0"/>
    <w:rsid w:val="0075488F"/>
    <w:rsid w:val="007628D5"/>
    <w:rsid w:val="007668DF"/>
    <w:rsid w:val="00767484"/>
    <w:rsid w:val="007710C8"/>
    <w:rsid w:val="00771256"/>
    <w:rsid w:val="0077185E"/>
    <w:rsid w:val="00771BE5"/>
    <w:rsid w:val="00772B91"/>
    <w:rsid w:val="00774420"/>
    <w:rsid w:val="007749A4"/>
    <w:rsid w:val="00774DFD"/>
    <w:rsid w:val="0077695E"/>
    <w:rsid w:val="00776BB4"/>
    <w:rsid w:val="00777466"/>
    <w:rsid w:val="007801DE"/>
    <w:rsid w:val="00780F60"/>
    <w:rsid w:val="0078337D"/>
    <w:rsid w:val="00784AF9"/>
    <w:rsid w:val="007857FD"/>
    <w:rsid w:val="00785DBD"/>
    <w:rsid w:val="00787043"/>
    <w:rsid w:val="0078708D"/>
    <w:rsid w:val="007870D8"/>
    <w:rsid w:val="00787B65"/>
    <w:rsid w:val="007906F3"/>
    <w:rsid w:val="00790C64"/>
    <w:rsid w:val="00791980"/>
    <w:rsid w:val="007924EE"/>
    <w:rsid w:val="00793F4F"/>
    <w:rsid w:val="00794038"/>
    <w:rsid w:val="00795339"/>
    <w:rsid w:val="007A0021"/>
    <w:rsid w:val="007A0FF7"/>
    <w:rsid w:val="007A131D"/>
    <w:rsid w:val="007A324F"/>
    <w:rsid w:val="007A45B8"/>
    <w:rsid w:val="007A4D70"/>
    <w:rsid w:val="007A64C4"/>
    <w:rsid w:val="007A6B83"/>
    <w:rsid w:val="007A720C"/>
    <w:rsid w:val="007A7943"/>
    <w:rsid w:val="007B0602"/>
    <w:rsid w:val="007B0642"/>
    <w:rsid w:val="007B0AB2"/>
    <w:rsid w:val="007B257A"/>
    <w:rsid w:val="007B3FFA"/>
    <w:rsid w:val="007B40D5"/>
    <w:rsid w:val="007B4A97"/>
    <w:rsid w:val="007B53F5"/>
    <w:rsid w:val="007B5518"/>
    <w:rsid w:val="007B61AE"/>
    <w:rsid w:val="007B6CE1"/>
    <w:rsid w:val="007C06F4"/>
    <w:rsid w:val="007C0AF1"/>
    <w:rsid w:val="007C194E"/>
    <w:rsid w:val="007C26D9"/>
    <w:rsid w:val="007C3F1E"/>
    <w:rsid w:val="007C5E6A"/>
    <w:rsid w:val="007C7D56"/>
    <w:rsid w:val="007D11C1"/>
    <w:rsid w:val="007D1F13"/>
    <w:rsid w:val="007D2C14"/>
    <w:rsid w:val="007D2CC3"/>
    <w:rsid w:val="007D42A0"/>
    <w:rsid w:val="007D4CF6"/>
    <w:rsid w:val="007D5068"/>
    <w:rsid w:val="007D59F5"/>
    <w:rsid w:val="007D7D5A"/>
    <w:rsid w:val="007E2C21"/>
    <w:rsid w:val="007E4373"/>
    <w:rsid w:val="007E51DE"/>
    <w:rsid w:val="007E521A"/>
    <w:rsid w:val="007E70D6"/>
    <w:rsid w:val="007E7C99"/>
    <w:rsid w:val="007F022F"/>
    <w:rsid w:val="007F2A6E"/>
    <w:rsid w:val="007F36E2"/>
    <w:rsid w:val="007F4B7C"/>
    <w:rsid w:val="007F66D9"/>
    <w:rsid w:val="00800679"/>
    <w:rsid w:val="008016B5"/>
    <w:rsid w:val="008021B3"/>
    <w:rsid w:val="00804108"/>
    <w:rsid w:val="00805914"/>
    <w:rsid w:val="00805980"/>
    <w:rsid w:val="00805E31"/>
    <w:rsid w:val="00811F46"/>
    <w:rsid w:val="00812232"/>
    <w:rsid w:val="008124E0"/>
    <w:rsid w:val="0081327C"/>
    <w:rsid w:val="00813A19"/>
    <w:rsid w:val="0081405B"/>
    <w:rsid w:val="0081532F"/>
    <w:rsid w:val="0081561E"/>
    <w:rsid w:val="0081648C"/>
    <w:rsid w:val="0081793F"/>
    <w:rsid w:val="00820FA0"/>
    <w:rsid w:val="008226C7"/>
    <w:rsid w:val="00831CD6"/>
    <w:rsid w:val="0083208D"/>
    <w:rsid w:val="00834AAA"/>
    <w:rsid w:val="0083648F"/>
    <w:rsid w:val="00836B82"/>
    <w:rsid w:val="008373BB"/>
    <w:rsid w:val="00840A48"/>
    <w:rsid w:val="008410B9"/>
    <w:rsid w:val="00841AE4"/>
    <w:rsid w:val="008428DE"/>
    <w:rsid w:val="008449C3"/>
    <w:rsid w:val="00844BBE"/>
    <w:rsid w:val="00845018"/>
    <w:rsid w:val="0084687A"/>
    <w:rsid w:val="0084762D"/>
    <w:rsid w:val="008476AE"/>
    <w:rsid w:val="00847F5F"/>
    <w:rsid w:val="00850030"/>
    <w:rsid w:val="00850207"/>
    <w:rsid w:val="00851D8E"/>
    <w:rsid w:val="0085360D"/>
    <w:rsid w:val="00855057"/>
    <w:rsid w:val="00855DB1"/>
    <w:rsid w:val="00856B95"/>
    <w:rsid w:val="00856F13"/>
    <w:rsid w:val="008577DF"/>
    <w:rsid w:val="00857DBE"/>
    <w:rsid w:val="00860D3D"/>
    <w:rsid w:val="00860F29"/>
    <w:rsid w:val="00863277"/>
    <w:rsid w:val="00863933"/>
    <w:rsid w:val="008669A0"/>
    <w:rsid w:val="008738D0"/>
    <w:rsid w:val="008739C2"/>
    <w:rsid w:val="008755DF"/>
    <w:rsid w:val="00875AEA"/>
    <w:rsid w:val="00875F40"/>
    <w:rsid w:val="0088052C"/>
    <w:rsid w:val="00882207"/>
    <w:rsid w:val="00884860"/>
    <w:rsid w:val="0088529B"/>
    <w:rsid w:val="0088625A"/>
    <w:rsid w:val="00886F1B"/>
    <w:rsid w:val="0089040B"/>
    <w:rsid w:val="00893530"/>
    <w:rsid w:val="0089395B"/>
    <w:rsid w:val="00893B78"/>
    <w:rsid w:val="0089554A"/>
    <w:rsid w:val="008964B4"/>
    <w:rsid w:val="0089702F"/>
    <w:rsid w:val="00897DE8"/>
    <w:rsid w:val="008A01EB"/>
    <w:rsid w:val="008A03FE"/>
    <w:rsid w:val="008A12DA"/>
    <w:rsid w:val="008A3936"/>
    <w:rsid w:val="008A426A"/>
    <w:rsid w:val="008A4DF8"/>
    <w:rsid w:val="008A55E1"/>
    <w:rsid w:val="008A5DF0"/>
    <w:rsid w:val="008A6442"/>
    <w:rsid w:val="008A6454"/>
    <w:rsid w:val="008A6D5A"/>
    <w:rsid w:val="008A7831"/>
    <w:rsid w:val="008B0592"/>
    <w:rsid w:val="008B08A8"/>
    <w:rsid w:val="008B0924"/>
    <w:rsid w:val="008B20B3"/>
    <w:rsid w:val="008B3932"/>
    <w:rsid w:val="008B3EF3"/>
    <w:rsid w:val="008B43A0"/>
    <w:rsid w:val="008B4579"/>
    <w:rsid w:val="008B46BF"/>
    <w:rsid w:val="008B66E6"/>
    <w:rsid w:val="008B676D"/>
    <w:rsid w:val="008B739D"/>
    <w:rsid w:val="008C0488"/>
    <w:rsid w:val="008C1934"/>
    <w:rsid w:val="008C3EE8"/>
    <w:rsid w:val="008C4B89"/>
    <w:rsid w:val="008C524D"/>
    <w:rsid w:val="008C7EEF"/>
    <w:rsid w:val="008D0113"/>
    <w:rsid w:val="008D13C4"/>
    <w:rsid w:val="008D29A1"/>
    <w:rsid w:val="008D3C12"/>
    <w:rsid w:val="008D3CC9"/>
    <w:rsid w:val="008D4B64"/>
    <w:rsid w:val="008D6AA0"/>
    <w:rsid w:val="008E20FC"/>
    <w:rsid w:val="008E3329"/>
    <w:rsid w:val="008E369F"/>
    <w:rsid w:val="008E4A5D"/>
    <w:rsid w:val="008E5308"/>
    <w:rsid w:val="008E5A7F"/>
    <w:rsid w:val="008E7A5E"/>
    <w:rsid w:val="008E7FAD"/>
    <w:rsid w:val="008F04B3"/>
    <w:rsid w:val="008F0925"/>
    <w:rsid w:val="008F3D71"/>
    <w:rsid w:val="008F4869"/>
    <w:rsid w:val="008F5C9D"/>
    <w:rsid w:val="008F753C"/>
    <w:rsid w:val="009000B6"/>
    <w:rsid w:val="00900CCD"/>
    <w:rsid w:val="00902E66"/>
    <w:rsid w:val="00903983"/>
    <w:rsid w:val="00903CBE"/>
    <w:rsid w:val="00903FB8"/>
    <w:rsid w:val="009041DA"/>
    <w:rsid w:val="00905FF3"/>
    <w:rsid w:val="0090732C"/>
    <w:rsid w:val="00910A9A"/>
    <w:rsid w:val="00913900"/>
    <w:rsid w:val="00914205"/>
    <w:rsid w:val="00917827"/>
    <w:rsid w:val="00920076"/>
    <w:rsid w:val="00920B95"/>
    <w:rsid w:val="0092174F"/>
    <w:rsid w:val="009230FF"/>
    <w:rsid w:val="00923130"/>
    <w:rsid w:val="00923EC0"/>
    <w:rsid w:val="00925D76"/>
    <w:rsid w:val="00926346"/>
    <w:rsid w:val="00927BD8"/>
    <w:rsid w:val="0093028C"/>
    <w:rsid w:val="00933F28"/>
    <w:rsid w:val="009366B6"/>
    <w:rsid w:val="00940E3E"/>
    <w:rsid w:val="00941B62"/>
    <w:rsid w:val="009422D3"/>
    <w:rsid w:val="00945095"/>
    <w:rsid w:val="00945873"/>
    <w:rsid w:val="00947FC8"/>
    <w:rsid w:val="00950273"/>
    <w:rsid w:val="00952440"/>
    <w:rsid w:val="00953792"/>
    <w:rsid w:val="00953CF0"/>
    <w:rsid w:val="00953D68"/>
    <w:rsid w:val="00954350"/>
    <w:rsid w:val="00954408"/>
    <w:rsid w:val="00957084"/>
    <w:rsid w:val="009579A5"/>
    <w:rsid w:val="00960B3E"/>
    <w:rsid w:val="00960EA1"/>
    <w:rsid w:val="00961805"/>
    <w:rsid w:val="00962DE8"/>
    <w:rsid w:val="00963ACD"/>
    <w:rsid w:val="00964EB5"/>
    <w:rsid w:val="0096541D"/>
    <w:rsid w:val="00966133"/>
    <w:rsid w:val="00966C8D"/>
    <w:rsid w:val="009678A8"/>
    <w:rsid w:val="00967A7A"/>
    <w:rsid w:val="00971833"/>
    <w:rsid w:val="009731F9"/>
    <w:rsid w:val="00973EEF"/>
    <w:rsid w:val="00974AC8"/>
    <w:rsid w:val="0097679C"/>
    <w:rsid w:val="00976BAB"/>
    <w:rsid w:val="00980034"/>
    <w:rsid w:val="00980AF3"/>
    <w:rsid w:val="009840EF"/>
    <w:rsid w:val="0098462E"/>
    <w:rsid w:val="009854AD"/>
    <w:rsid w:val="00985AFF"/>
    <w:rsid w:val="00985B55"/>
    <w:rsid w:val="00986C73"/>
    <w:rsid w:val="00987BCA"/>
    <w:rsid w:val="00990380"/>
    <w:rsid w:val="0099111A"/>
    <w:rsid w:val="00991FA3"/>
    <w:rsid w:val="00992C8B"/>
    <w:rsid w:val="0099793B"/>
    <w:rsid w:val="009A0272"/>
    <w:rsid w:val="009A0EE5"/>
    <w:rsid w:val="009A16B5"/>
    <w:rsid w:val="009A2041"/>
    <w:rsid w:val="009A304B"/>
    <w:rsid w:val="009A5B0F"/>
    <w:rsid w:val="009A7709"/>
    <w:rsid w:val="009A7F18"/>
    <w:rsid w:val="009B0E19"/>
    <w:rsid w:val="009B17BD"/>
    <w:rsid w:val="009B1D69"/>
    <w:rsid w:val="009B2AFC"/>
    <w:rsid w:val="009B35A3"/>
    <w:rsid w:val="009B39C0"/>
    <w:rsid w:val="009B3BAA"/>
    <w:rsid w:val="009B43E0"/>
    <w:rsid w:val="009B4F06"/>
    <w:rsid w:val="009B5241"/>
    <w:rsid w:val="009B5DB6"/>
    <w:rsid w:val="009B6328"/>
    <w:rsid w:val="009B76A8"/>
    <w:rsid w:val="009C0BBF"/>
    <w:rsid w:val="009C1484"/>
    <w:rsid w:val="009C1F61"/>
    <w:rsid w:val="009C639B"/>
    <w:rsid w:val="009C65A0"/>
    <w:rsid w:val="009C775F"/>
    <w:rsid w:val="009C77FB"/>
    <w:rsid w:val="009D1018"/>
    <w:rsid w:val="009D1C01"/>
    <w:rsid w:val="009D1CB0"/>
    <w:rsid w:val="009D2AFF"/>
    <w:rsid w:val="009D3762"/>
    <w:rsid w:val="009D3916"/>
    <w:rsid w:val="009D4ACA"/>
    <w:rsid w:val="009D641C"/>
    <w:rsid w:val="009D6FB0"/>
    <w:rsid w:val="009E3A43"/>
    <w:rsid w:val="009E4AB3"/>
    <w:rsid w:val="009E56C3"/>
    <w:rsid w:val="009E5E97"/>
    <w:rsid w:val="009E6F45"/>
    <w:rsid w:val="009F107D"/>
    <w:rsid w:val="009F3649"/>
    <w:rsid w:val="009F3C82"/>
    <w:rsid w:val="009F4176"/>
    <w:rsid w:val="009F4452"/>
    <w:rsid w:val="009F591C"/>
    <w:rsid w:val="009F5DC6"/>
    <w:rsid w:val="009F5EFB"/>
    <w:rsid w:val="009F6F8C"/>
    <w:rsid w:val="009F7069"/>
    <w:rsid w:val="00A005D1"/>
    <w:rsid w:val="00A01DF5"/>
    <w:rsid w:val="00A03054"/>
    <w:rsid w:val="00A0500F"/>
    <w:rsid w:val="00A05090"/>
    <w:rsid w:val="00A052F4"/>
    <w:rsid w:val="00A05307"/>
    <w:rsid w:val="00A05E53"/>
    <w:rsid w:val="00A06960"/>
    <w:rsid w:val="00A074D2"/>
    <w:rsid w:val="00A10D91"/>
    <w:rsid w:val="00A11A7A"/>
    <w:rsid w:val="00A13372"/>
    <w:rsid w:val="00A144BF"/>
    <w:rsid w:val="00A15E4B"/>
    <w:rsid w:val="00A17911"/>
    <w:rsid w:val="00A210D3"/>
    <w:rsid w:val="00A21E8D"/>
    <w:rsid w:val="00A22BC2"/>
    <w:rsid w:val="00A25322"/>
    <w:rsid w:val="00A25E0B"/>
    <w:rsid w:val="00A35DD0"/>
    <w:rsid w:val="00A36850"/>
    <w:rsid w:val="00A368CD"/>
    <w:rsid w:val="00A416B9"/>
    <w:rsid w:val="00A44553"/>
    <w:rsid w:val="00A44EDF"/>
    <w:rsid w:val="00A51408"/>
    <w:rsid w:val="00A51DEE"/>
    <w:rsid w:val="00A528F6"/>
    <w:rsid w:val="00A52BDE"/>
    <w:rsid w:val="00A53284"/>
    <w:rsid w:val="00A535E5"/>
    <w:rsid w:val="00A55842"/>
    <w:rsid w:val="00A55C9C"/>
    <w:rsid w:val="00A602AF"/>
    <w:rsid w:val="00A61C49"/>
    <w:rsid w:val="00A61EE7"/>
    <w:rsid w:val="00A62439"/>
    <w:rsid w:val="00A64591"/>
    <w:rsid w:val="00A7030C"/>
    <w:rsid w:val="00A705D5"/>
    <w:rsid w:val="00A70D07"/>
    <w:rsid w:val="00A7302B"/>
    <w:rsid w:val="00A73C1A"/>
    <w:rsid w:val="00A753DA"/>
    <w:rsid w:val="00A767FC"/>
    <w:rsid w:val="00A801E5"/>
    <w:rsid w:val="00A80AE8"/>
    <w:rsid w:val="00A84CBE"/>
    <w:rsid w:val="00A85F23"/>
    <w:rsid w:val="00A87EC1"/>
    <w:rsid w:val="00A90A5E"/>
    <w:rsid w:val="00A9104F"/>
    <w:rsid w:val="00A92A7F"/>
    <w:rsid w:val="00A93433"/>
    <w:rsid w:val="00AA03D8"/>
    <w:rsid w:val="00AA0984"/>
    <w:rsid w:val="00AA1CC7"/>
    <w:rsid w:val="00AA30A7"/>
    <w:rsid w:val="00AA4C0D"/>
    <w:rsid w:val="00AA54F0"/>
    <w:rsid w:val="00AA57B3"/>
    <w:rsid w:val="00AB16EB"/>
    <w:rsid w:val="00AB2B2B"/>
    <w:rsid w:val="00AB2CA8"/>
    <w:rsid w:val="00AB4412"/>
    <w:rsid w:val="00AB44EA"/>
    <w:rsid w:val="00AB46FC"/>
    <w:rsid w:val="00AB5033"/>
    <w:rsid w:val="00AB6DB1"/>
    <w:rsid w:val="00AB6FDE"/>
    <w:rsid w:val="00AC002E"/>
    <w:rsid w:val="00AC2F45"/>
    <w:rsid w:val="00AC3311"/>
    <w:rsid w:val="00AC393E"/>
    <w:rsid w:val="00AC4F29"/>
    <w:rsid w:val="00AC6194"/>
    <w:rsid w:val="00AC6B19"/>
    <w:rsid w:val="00AD09B6"/>
    <w:rsid w:val="00AD0D19"/>
    <w:rsid w:val="00AD1B1C"/>
    <w:rsid w:val="00AD3B73"/>
    <w:rsid w:val="00AD627A"/>
    <w:rsid w:val="00AD6897"/>
    <w:rsid w:val="00AE0194"/>
    <w:rsid w:val="00AE1C6B"/>
    <w:rsid w:val="00AE30D7"/>
    <w:rsid w:val="00AE4923"/>
    <w:rsid w:val="00AF0EAD"/>
    <w:rsid w:val="00AF17C4"/>
    <w:rsid w:val="00AF2B31"/>
    <w:rsid w:val="00AF2CF7"/>
    <w:rsid w:val="00AF3674"/>
    <w:rsid w:val="00AF3D0F"/>
    <w:rsid w:val="00AF4CD7"/>
    <w:rsid w:val="00AF5D64"/>
    <w:rsid w:val="00AF6838"/>
    <w:rsid w:val="00B003B4"/>
    <w:rsid w:val="00B01034"/>
    <w:rsid w:val="00B0316B"/>
    <w:rsid w:val="00B037C0"/>
    <w:rsid w:val="00B039C6"/>
    <w:rsid w:val="00B04327"/>
    <w:rsid w:val="00B0554C"/>
    <w:rsid w:val="00B06C76"/>
    <w:rsid w:val="00B06E3E"/>
    <w:rsid w:val="00B1005D"/>
    <w:rsid w:val="00B103F2"/>
    <w:rsid w:val="00B126DB"/>
    <w:rsid w:val="00B13CCA"/>
    <w:rsid w:val="00B15EDA"/>
    <w:rsid w:val="00B1710E"/>
    <w:rsid w:val="00B17BF1"/>
    <w:rsid w:val="00B21500"/>
    <w:rsid w:val="00B21708"/>
    <w:rsid w:val="00B21D8C"/>
    <w:rsid w:val="00B23860"/>
    <w:rsid w:val="00B242E4"/>
    <w:rsid w:val="00B257DC"/>
    <w:rsid w:val="00B261FE"/>
    <w:rsid w:val="00B26824"/>
    <w:rsid w:val="00B27EAE"/>
    <w:rsid w:val="00B30094"/>
    <w:rsid w:val="00B312C9"/>
    <w:rsid w:val="00B31E1A"/>
    <w:rsid w:val="00B3231D"/>
    <w:rsid w:val="00B360CD"/>
    <w:rsid w:val="00B3776E"/>
    <w:rsid w:val="00B40491"/>
    <w:rsid w:val="00B41008"/>
    <w:rsid w:val="00B41493"/>
    <w:rsid w:val="00B42D73"/>
    <w:rsid w:val="00B4404C"/>
    <w:rsid w:val="00B445EC"/>
    <w:rsid w:val="00B44BC6"/>
    <w:rsid w:val="00B4558C"/>
    <w:rsid w:val="00B45740"/>
    <w:rsid w:val="00B46E40"/>
    <w:rsid w:val="00B47A96"/>
    <w:rsid w:val="00B510A2"/>
    <w:rsid w:val="00B55CC6"/>
    <w:rsid w:val="00B61F76"/>
    <w:rsid w:val="00B6457A"/>
    <w:rsid w:val="00B6459F"/>
    <w:rsid w:val="00B6508F"/>
    <w:rsid w:val="00B6629A"/>
    <w:rsid w:val="00B6738D"/>
    <w:rsid w:val="00B67B39"/>
    <w:rsid w:val="00B70427"/>
    <w:rsid w:val="00B705F1"/>
    <w:rsid w:val="00B731DF"/>
    <w:rsid w:val="00B7392A"/>
    <w:rsid w:val="00B741D7"/>
    <w:rsid w:val="00B74F17"/>
    <w:rsid w:val="00B76562"/>
    <w:rsid w:val="00B80A21"/>
    <w:rsid w:val="00B8288B"/>
    <w:rsid w:val="00B82D47"/>
    <w:rsid w:val="00B82E7F"/>
    <w:rsid w:val="00B84112"/>
    <w:rsid w:val="00B85F24"/>
    <w:rsid w:val="00B87783"/>
    <w:rsid w:val="00B8797D"/>
    <w:rsid w:val="00B87E21"/>
    <w:rsid w:val="00B92386"/>
    <w:rsid w:val="00B92BCF"/>
    <w:rsid w:val="00B94024"/>
    <w:rsid w:val="00B94232"/>
    <w:rsid w:val="00B9568E"/>
    <w:rsid w:val="00B9613E"/>
    <w:rsid w:val="00B96D26"/>
    <w:rsid w:val="00B9716B"/>
    <w:rsid w:val="00B97219"/>
    <w:rsid w:val="00B97CC5"/>
    <w:rsid w:val="00BA0A10"/>
    <w:rsid w:val="00BA1582"/>
    <w:rsid w:val="00BA33B2"/>
    <w:rsid w:val="00BA39DE"/>
    <w:rsid w:val="00BA3A67"/>
    <w:rsid w:val="00BA3AAE"/>
    <w:rsid w:val="00BA3D33"/>
    <w:rsid w:val="00BA4615"/>
    <w:rsid w:val="00BA6DE6"/>
    <w:rsid w:val="00BB3293"/>
    <w:rsid w:val="00BB4D45"/>
    <w:rsid w:val="00BB4F9B"/>
    <w:rsid w:val="00BB6E6A"/>
    <w:rsid w:val="00BC2787"/>
    <w:rsid w:val="00BC39C9"/>
    <w:rsid w:val="00BC4B26"/>
    <w:rsid w:val="00BC518B"/>
    <w:rsid w:val="00BC542A"/>
    <w:rsid w:val="00BC5440"/>
    <w:rsid w:val="00BC5DCB"/>
    <w:rsid w:val="00BC6CE7"/>
    <w:rsid w:val="00BC6F73"/>
    <w:rsid w:val="00BD1A6D"/>
    <w:rsid w:val="00BD4206"/>
    <w:rsid w:val="00BD4F9A"/>
    <w:rsid w:val="00BD7A6D"/>
    <w:rsid w:val="00BD7F10"/>
    <w:rsid w:val="00BE213F"/>
    <w:rsid w:val="00BE2C15"/>
    <w:rsid w:val="00BE63D3"/>
    <w:rsid w:val="00BE6B97"/>
    <w:rsid w:val="00BE7ECE"/>
    <w:rsid w:val="00BF04C1"/>
    <w:rsid w:val="00BF6823"/>
    <w:rsid w:val="00C00690"/>
    <w:rsid w:val="00C01670"/>
    <w:rsid w:val="00C05BFE"/>
    <w:rsid w:val="00C0704E"/>
    <w:rsid w:val="00C10C81"/>
    <w:rsid w:val="00C11A92"/>
    <w:rsid w:val="00C154E3"/>
    <w:rsid w:val="00C16B57"/>
    <w:rsid w:val="00C20199"/>
    <w:rsid w:val="00C20C1F"/>
    <w:rsid w:val="00C23DD5"/>
    <w:rsid w:val="00C2509C"/>
    <w:rsid w:val="00C25E90"/>
    <w:rsid w:val="00C274B8"/>
    <w:rsid w:val="00C31FFC"/>
    <w:rsid w:val="00C33E3B"/>
    <w:rsid w:val="00C352FB"/>
    <w:rsid w:val="00C35543"/>
    <w:rsid w:val="00C36016"/>
    <w:rsid w:val="00C3601D"/>
    <w:rsid w:val="00C374C5"/>
    <w:rsid w:val="00C3780F"/>
    <w:rsid w:val="00C37913"/>
    <w:rsid w:val="00C404DF"/>
    <w:rsid w:val="00C40B07"/>
    <w:rsid w:val="00C41295"/>
    <w:rsid w:val="00C417DD"/>
    <w:rsid w:val="00C42DB5"/>
    <w:rsid w:val="00C434A9"/>
    <w:rsid w:val="00C4447C"/>
    <w:rsid w:val="00C45182"/>
    <w:rsid w:val="00C5544D"/>
    <w:rsid w:val="00C5597D"/>
    <w:rsid w:val="00C55AFB"/>
    <w:rsid w:val="00C56617"/>
    <w:rsid w:val="00C5747F"/>
    <w:rsid w:val="00C61041"/>
    <w:rsid w:val="00C61130"/>
    <w:rsid w:val="00C62064"/>
    <w:rsid w:val="00C62A4D"/>
    <w:rsid w:val="00C62DB7"/>
    <w:rsid w:val="00C637C5"/>
    <w:rsid w:val="00C63D64"/>
    <w:rsid w:val="00C64BF9"/>
    <w:rsid w:val="00C6501D"/>
    <w:rsid w:val="00C650DB"/>
    <w:rsid w:val="00C6515D"/>
    <w:rsid w:val="00C65402"/>
    <w:rsid w:val="00C65EE3"/>
    <w:rsid w:val="00C67F78"/>
    <w:rsid w:val="00C701FE"/>
    <w:rsid w:val="00C70E07"/>
    <w:rsid w:val="00C70F15"/>
    <w:rsid w:val="00C71606"/>
    <w:rsid w:val="00C73DBB"/>
    <w:rsid w:val="00C74437"/>
    <w:rsid w:val="00C747C0"/>
    <w:rsid w:val="00C74FBE"/>
    <w:rsid w:val="00C7507E"/>
    <w:rsid w:val="00C80FFB"/>
    <w:rsid w:val="00C8149D"/>
    <w:rsid w:val="00C81DDC"/>
    <w:rsid w:val="00C84097"/>
    <w:rsid w:val="00C85C8E"/>
    <w:rsid w:val="00C86FB0"/>
    <w:rsid w:val="00C875B5"/>
    <w:rsid w:val="00C8770B"/>
    <w:rsid w:val="00C90EE1"/>
    <w:rsid w:val="00C912E1"/>
    <w:rsid w:val="00C92D10"/>
    <w:rsid w:val="00C93512"/>
    <w:rsid w:val="00C93AC5"/>
    <w:rsid w:val="00C94583"/>
    <w:rsid w:val="00C95922"/>
    <w:rsid w:val="00C97CAB"/>
    <w:rsid w:val="00CA00B9"/>
    <w:rsid w:val="00CA2139"/>
    <w:rsid w:val="00CA7783"/>
    <w:rsid w:val="00CA7F72"/>
    <w:rsid w:val="00CB00E6"/>
    <w:rsid w:val="00CB0AE1"/>
    <w:rsid w:val="00CB26B6"/>
    <w:rsid w:val="00CB2C96"/>
    <w:rsid w:val="00CB31E2"/>
    <w:rsid w:val="00CB3F96"/>
    <w:rsid w:val="00CB5266"/>
    <w:rsid w:val="00CB5BB5"/>
    <w:rsid w:val="00CC0427"/>
    <w:rsid w:val="00CC05B0"/>
    <w:rsid w:val="00CC10B7"/>
    <w:rsid w:val="00CC3396"/>
    <w:rsid w:val="00CC33D6"/>
    <w:rsid w:val="00CC3BCD"/>
    <w:rsid w:val="00CC488A"/>
    <w:rsid w:val="00CC5DA1"/>
    <w:rsid w:val="00CC5F55"/>
    <w:rsid w:val="00CC5FE6"/>
    <w:rsid w:val="00CC6B4C"/>
    <w:rsid w:val="00CD2807"/>
    <w:rsid w:val="00CD456C"/>
    <w:rsid w:val="00CD6574"/>
    <w:rsid w:val="00CD7179"/>
    <w:rsid w:val="00CE0C58"/>
    <w:rsid w:val="00CE0F61"/>
    <w:rsid w:val="00CE1B5A"/>
    <w:rsid w:val="00CE2BF0"/>
    <w:rsid w:val="00CE5391"/>
    <w:rsid w:val="00CE5F33"/>
    <w:rsid w:val="00CE6123"/>
    <w:rsid w:val="00CF0E18"/>
    <w:rsid w:val="00CF2814"/>
    <w:rsid w:val="00CF458A"/>
    <w:rsid w:val="00CF52E7"/>
    <w:rsid w:val="00CF5A22"/>
    <w:rsid w:val="00CF64A2"/>
    <w:rsid w:val="00CF6C5D"/>
    <w:rsid w:val="00CF6FC6"/>
    <w:rsid w:val="00CF7BB2"/>
    <w:rsid w:val="00D014F3"/>
    <w:rsid w:val="00D01DA1"/>
    <w:rsid w:val="00D01E1D"/>
    <w:rsid w:val="00D02AFA"/>
    <w:rsid w:val="00D02BAC"/>
    <w:rsid w:val="00D02C74"/>
    <w:rsid w:val="00D04F4E"/>
    <w:rsid w:val="00D058FF"/>
    <w:rsid w:val="00D05F0D"/>
    <w:rsid w:val="00D0794F"/>
    <w:rsid w:val="00D07AA9"/>
    <w:rsid w:val="00D10636"/>
    <w:rsid w:val="00D10BE5"/>
    <w:rsid w:val="00D13318"/>
    <w:rsid w:val="00D13E85"/>
    <w:rsid w:val="00D14D21"/>
    <w:rsid w:val="00D156E8"/>
    <w:rsid w:val="00D15958"/>
    <w:rsid w:val="00D1703C"/>
    <w:rsid w:val="00D219D8"/>
    <w:rsid w:val="00D224FF"/>
    <w:rsid w:val="00D22A6E"/>
    <w:rsid w:val="00D241D4"/>
    <w:rsid w:val="00D30103"/>
    <w:rsid w:val="00D31084"/>
    <w:rsid w:val="00D32C89"/>
    <w:rsid w:val="00D4163E"/>
    <w:rsid w:val="00D45973"/>
    <w:rsid w:val="00D46246"/>
    <w:rsid w:val="00D46C28"/>
    <w:rsid w:val="00D5064A"/>
    <w:rsid w:val="00D506E0"/>
    <w:rsid w:val="00D50842"/>
    <w:rsid w:val="00D50D01"/>
    <w:rsid w:val="00D51114"/>
    <w:rsid w:val="00D52BC2"/>
    <w:rsid w:val="00D52C04"/>
    <w:rsid w:val="00D52DBE"/>
    <w:rsid w:val="00D53090"/>
    <w:rsid w:val="00D5386A"/>
    <w:rsid w:val="00D60416"/>
    <w:rsid w:val="00D614A2"/>
    <w:rsid w:val="00D62859"/>
    <w:rsid w:val="00D628A5"/>
    <w:rsid w:val="00D63DE6"/>
    <w:rsid w:val="00D64982"/>
    <w:rsid w:val="00D652D3"/>
    <w:rsid w:val="00D706AB"/>
    <w:rsid w:val="00D71A02"/>
    <w:rsid w:val="00D731CB"/>
    <w:rsid w:val="00D736A9"/>
    <w:rsid w:val="00D7432D"/>
    <w:rsid w:val="00D75707"/>
    <w:rsid w:val="00D75986"/>
    <w:rsid w:val="00D76D77"/>
    <w:rsid w:val="00D85FDD"/>
    <w:rsid w:val="00D8657E"/>
    <w:rsid w:val="00D86C3B"/>
    <w:rsid w:val="00D8725B"/>
    <w:rsid w:val="00D8737C"/>
    <w:rsid w:val="00D938E8"/>
    <w:rsid w:val="00D950C7"/>
    <w:rsid w:val="00D966D2"/>
    <w:rsid w:val="00D972C0"/>
    <w:rsid w:val="00D9771A"/>
    <w:rsid w:val="00D97D09"/>
    <w:rsid w:val="00D97D8F"/>
    <w:rsid w:val="00DA1C2A"/>
    <w:rsid w:val="00DA20D3"/>
    <w:rsid w:val="00DA54D4"/>
    <w:rsid w:val="00DA5F56"/>
    <w:rsid w:val="00DA6DD6"/>
    <w:rsid w:val="00DB0E02"/>
    <w:rsid w:val="00DB15D9"/>
    <w:rsid w:val="00DB17ED"/>
    <w:rsid w:val="00DB2331"/>
    <w:rsid w:val="00DB24C2"/>
    <w:rsid w:val="00DB29F5"/>
    <w:rsid w:val="00DB2BFF"/>
    <w:rsid w:val="00DB3574"/>
    <w:rsid w:val="00DB6EF8"/>
    <w:rsid w:val="00DC1990"/>
    <w:rsid w:val="00DC1B4D"/>
    <w:rsid w:val="00DC1FA4"/>
    <w:rsid w:val="00DC2899"/>
    <w:rsid w:val="00DC2CE3"/>
    <w:rsid w:val="00DC315D"/>
    <w:rsid w:val="00DC547D"/>
    <w:rsid w:val="00DD1744"/>
    <w:rsid w:val="00DD193E"/>
    <w:rsid w:val="00DD20A4"/>
    <w:rsid w:val="00DD22EA"/>
    <w:rsid w:val="00DD27DD"/>
    <w:rsid w:val="00DD3C98"/>
    <w:rsid w:val="00DD5225"/>
    <w:rsid w:val="00DD6E4C"/>
    <w:rsid w:val="00DE0317"/>
    <w:rsid w:val="00DE1A80"/>
    <w:rsid w:val="00DE48DA"/>
    <w:rsid w:val="00DE50D9"/>
    <w:rsid w:val="00DE7F62"/>
    <w:rsid w:val="00DF0EA0"/>
    <w:rsid w:val="00DF42C6"/>
    <w:rsid w:val="00DF4DC1"/>
    <w:rsid w:val="00DF6882"/>
    <w:rsid w:val="00E0083A"/>
    <w:rsid w:val="00E00FB7"/>
    <w:rsid w:val="00E0155D"/>
    <w:rsid w:val="00E019DC"/>
    <w:rsid w:val="00E029C5"/>
    <w:rsid w:val="00E03A3C"/>
    <w:rsid w:val="00E03F4A"/>
    <w:rsid w:val="00E0531A"/>
    <w:rsid w:val="00E06B6C"/>
    <w:rsid w:val="00E06DBF"/>
    <w:rsid w:val="00E07351"/>
    <w:rsid w:val="00E07E1B"/>
    <w:rsid w:val="00E109D6"/>
    <w:rsid w:val="00E121DA"/>
    <w:rsid w:val="00E135E6"/>
    <w:rsid w:val="00E136DF"/>
    <w:rsid w:val="00E166EA"/>
    <w:rsid w:val="00E1754C"/>
    <w:rsid w:val="00E20DAA"/>
    <w:rsid w:val="00E21856"/>
    <w:rsid w:val="00E22888"/>
    <w:rsid w:val="00E23E38"/>
    <w:rsid w:val="00E24705"/>
    <w:rsid w:val="00E24BD5"/>
    <w:rsid w:val="00E26553"/>
    <w:rsid w:val="00E2745C"/>
    <w:rsid w:val="00E30AB4"/>
    <w:rsid w:val="00E31380"/>
    <w:rsid w:val="00E33282"/>
    <w:rsid w:val="00E353DB"/>
    <w:rsid w:val="00E355E3"/>
    <w:rsid w:val="00E35E13"/>
    <w:rsid w:val="00E40859"/>
    <w:rsid w:val="00E44B59"/>
    <w:rsid w:val="00E45279"/>
    <w:rsid w:val="00E50067"/>
    <w:rsid w:val="00E505ED"/>
    <w:rsid w:val="00E51B68"/>
    <w:rsid w:val="00E53CB9"/>
    <w:rsid w:val="00E5428E"/>
    <w:rsid w:val="00E551C7"/>
    <w:rsid w:val="00E55E80"/>
    <w:rsid w:val="00E56A7D"/>
    <w:rsid w:val="00E56CD0"/>
    <w:rsid w:val="00E57A11"/>
    <w:rsid w:val="00E6183C"/>
    <w:rsid w:val="00E62359"/>
    <w:rsid w:val="00E628D7"/>
    <w:rsid w:val="00E62A44"/>
    <w:rsid w:val="00E63AC7"/>
    <w:rsid w:val="00E640B6"/>
    <w:rsid w:val="00E65854"/>
    <w:rsid w:val="00E66AB7"/>
    <w:rsid w:val="00E7061E"/>
    <w:rsid w:val="00E7185B"/>
    <w:rsid w:val="00E72461"/>
    <w:rsid w:val="00E736EA"/>
    <w:rsid w:val="00E73EF0"/>
    <w:rsid w:val="00E743AF"/>
    <w:rsid w:val="00E76F3E"/>
    <w:rsid w:val="00E77734"/>
    <w:rsid w:val="00E806B4"/>
    <w:rsid w:val="00E808DA"/>
    <w:rsid w:val="00E8197E"/>
    <w:rsid w:val="00E81A5B"/>
    <w:rsid w:val="00E82777"/>
    <w:rsid w:val="00E83844"/>
    <w:rsid w:val="00E8490F"/>
    <w:rsid w:val="00E8613A"/>
    <w:rsid w:val="00E8704D"/>
    <w:rsid w:val="00E90658"/>
    <w:rsid w:val="00E908C7"/>
    <w:rsid w:val="00E908CA"/>
    <w:rsid w:val="00E912BA"/>
    <w:rsid w:val="00E914DD"/>
    <w:rsid w:val="00E91A34"/>
    <w:rsid w:val="00E92F24"/>
    <w:rsid w:val="00E97A93"/>
    <w:rsid w:val="00EA23CA"/>
    <w:rsid w:val="00EA241E"/>
    <w:rsid w:val="00EA26BB"/>
    <w:rsid w:val="00EA2767"/>
    <w:rsid w:val="00EA2B89"/>
    <w:rsid w:val="00EA2B8B"/>
    <w:rsid w:val="00EA51B1"/>
    <w:rsid w:val="00EA51BA"/>
    <w:rsid w:val="00EA5261"/>
    <w:rsid w:val="00EA55B0"/>
    <w:rsid w:val="00EA5770"/>
    <w:rsid w:val="00EA5949"/>
    <w:rsid w:val="00EA6172"/>
    <w:rsid w:val="00EA645F"/>
    <w:rsid w:val="00EA7C06"/>
    <w:rsid w:val="00EB12D7"/>
    <w:rsid w:val="00EB18D5"/>
    <w:rsid w:val="00EB2EA3"/>
    <w:rsid w:val="00EB5416"/>
    <w:rsid w:val="00EB5B79"/>
    <w:rsid w:val="00EB652D"/>
    <w:rsid w:val="00EC075E"/>
    <w:rsid w:val="00EC5899"/>
    <w:rsid w:val="00EC5B5B"/>
    <w:rsid w:val="00EC5CAB"/>
    <w:rsid w:val="00EC6BCE"/>
    <w:rsid w:val="00EC7127"/>
    <w:rsid w:val="00ED0A2D"/>
    <w:rsid w:val="00ED1898"/>
    <w:rsid w:val="00ED2F30"/>
    <w:rsid w:val="00ED5267"/>
    <w:rsid w:val="00ED5943"/>
    <w:rsid w:val="00ED5C67"/>
    <w:rsid w:val="00ED6021"/>
    <w:rsid w:val="00EE01D7"/>
    <w:rsid w:val="00EE0562"/>
    <w:rsid w:val="00EE06E9"/>
    <w:rsid w:val="00EE0AA1"/>
    <w:rsid w:val="00EE0D90"/>
    <w:rsid w:val="00EE1454"/>
    <w:rsid w:val="00EE19BA"/>
    <w:rsid w:val="00EE3F11"/>
    <w:rsid w:val="00EE3F1E"/>
    <w:rsid w:val="00EE596E"/>
    <w:rsid w:val="00EE6306"/>
    <w:rsid w:val="00EF0807"/>
    <w:rsid w:val="00EF0835"/>
    <w:rsid w:val="00EF0E52"/>
    <w:rsid w:val="00EF1CA7"/>
    <w:rsid w:val="00EF229B"/>
    <w:rsid w:val="00EF42F3"/>
    <w:rsid w:val="00EF4699"/>
    <w:rsid w:val="00EF556B"/>
    <w:rsid w:val="00EF6B3C"/>
    <w:rsid w:val="00F007BC"/>
    <w:rsid w:val="00F00EF9"/>
    <w:rsid w:val="00F0277A"/>
    <w:rsid w:val="00F03DFF"/>
    <w:rsid w:val="00F041EE"/>
    <w:rsid w:val="00F043E4"/>
    <w:rsid w:val="00F045B8"/>
    <w:rsid w:val="00F04C7F"/>
    <w:rsid w:val="00F05387"/>
    <w:rsid w:val="00F05E16"/>
    <w:rsid w:val="00F06BE3"/>
    <w:rsid w:val="00F06C2B"/>
    <w:rsid w:val="00F10149"/>
    <w:rsid w:val="00F1157A"/>
    <w:rsid w:val="00F11629"/>
    <w:rsid w:val="00F1288F"/>
    <w:rsid w:val="00F134C6"/>
    <w:rsid w:val="00F13AED"/>
    <w:rsid w:val="00F13F72"/>
    <w:rsid w:val="00F14BC4"/>
    <w:rsid w:val="00F173A2"/>
    <w:rsid w:val="00F17785"/>
    <w:rsid w:val="00F17AC9"/>
    <w:rsid w:val="00F20851"/>
    <w:rsid w:val="00F20B9C"/>
    <w:rsid w:val="00F20F5D"/>
    <w:rsid w:val="00F2112B"/>
    <w:rsid w:val="00F212BE"/>
    <w:rsid w:val="00F2218D"/>
    <w:rsid w:val="00F24A73"/>
    <w:rsid w:val="00F2527A"/>
    <w:rsid w:val="00F2724A"/>
    <w:rsid w:val="00F30E58"/>
    <w:rsid w:val="00F310FC"/>
    <w:rsid w:val="00F32245"/>
    <w:rsid w:val="00F33C73"/>
    <w:rsid w:val="00F34924"/>
    <w:rsid w:val="00F34B82"/>
    <w:rsid w:val="00F34E55"/>
    <w:rsid w:val="00F374BD"/>
    <w:rsid w:val="00F37889"/>
    <w:rsid w:val="00F378C1"/>
    <w:rsid w:val="00F40751"/>
    <w:rsid w:val="00F422D8"/>
    <w:rsid w:val="00F44566"/>
    <w:rsid w:val="00F45171"/>
    <w:rsid w:val="00F4552D"/>
    <w:rsid w:val="00F47685"/>
    <w:rsid w:val="00F53404"/>
    <w:rsid w:val="00F53983"/>
    <w:rsid w:val="00F53D52"/>
    <w:rsid w:val="00F55637"/>
    <w:rsid w:val="00F567C0"/>
    <w:rsid w:val="00F5763F"/>
    <w:rsid w:val="00F57883"/>
    <w:rsid w:val="00F57BA4"/>
    <w:rsid w:val="00F627D0"/>
    <w:rsid w:val="00F640F3"/>
    <w:rsid w:val="00F66899"/>
    <w:rsid w:val="00F66CFD"/>
    <w:rsid w:val="00F67407"/>
    <w:rsid w:val="00F67432"/>
    <w:rsid w:val="00F7027A"/>
    <w:rsid w:val="00F70E2E"/>
    <w:rsid w:val="00F711CE"/>
    <w:rsid w:val="00F712C5"/>
    <w:rsid w:val="00F7341C"/>
    <w:rsid w:val="00F73A10"/>
    <w:rsid w:val="00F75612"/>
    <w:rsid w:val="00F75C23"/>
    <w:rsid w:val="00F7666A"/>
    <w:rsid w:val="00F76786"/>
    <w:rsid w:val="00F7750B"/>
    <w:rsid w:val="00F777D8"/>
    <w:rsid w:val="00F77ABB"/>
    <w:rsid w:val="00F813D6"/>
    <w:rsid w:val="00F84A99"/>
    <w:rsid w:val="00F85454"/>
    <w:rsid w:val="00F86987"/>
    <w:rsid w:val="00F86BB8"/>
    <w:rsid w:val="00F8718F"/>
    <w:rsid w:val="00F90768"/>
    <w:rsid w:val="00F94643"/>
    <w:rsid w:val="00F94F4B"/>
    <w:rsid w:val="00F956D4"/>
    <w:rsid w:val="00F96002"/>
    <w:rsid w:val="00F96791"/>
    <w:rsid w:val="00F9687C"/>
    <w:rsid w:val="00F978DE"/>
    <w:rsid w:val="00F97A18"/>
    <w:rsid w:val="00FA0618"/>
    <w:rsid w:val="00FA094D"/>
    <w:rsid w:val="00FA1041"/>
    <w:rsid w:val="00FA1BDA"/>
    <w:rsid w:val="00FA1DBB"/>
    <w:rsid w:val="00FA2518"/>
    <w:rsid w:val="00FA3609"/>
    <w:rsid w:val="00FA3A16"/>
    <w:rsid w:val="00FA3D5C"/>
    <w:rsid w:val="00FA3E95"/>
    <w:rsid w:val="00FA4E9A"/>
    <w:rsid w:val="00FA50B8"/>
    <w:rsid w:val="00FA6159"/>
    <w:rsid w:val="00FA621A"/>
    <w:rsid w:val="00FA66E1"/>
    <w:rsid w:val="00FB20D0"/>
    <w:rsid w:val="00FB3221"/>
    <w:rsid w:val="00FB603B"/>
    <w:rsid w:val="00FB7EF4"/>
    <w:rsid w:val="00FC34A5"/>
    <w:rsid w:val="00FC4BCA"/>
    <w:rsid w:val="00FC4F6C"/>
    <w:rsid w:val="00FC6718"/>
    <w:rsid w:val="00FC761F"/>
    <w:rsid w:val="00FC7753"/>
    <w:rsid w:val="00FC7A3C"/>
    <w:rsid w:val="00FD1160"/>
    <w:rsid w:val="00FD28DE"/>
    <w:rsid w:val="00FD3819"/>
    <w:rsid w:val="00FD398D"/>
    <w:rsid w:val="00FD6EAB"/>
    <w:rsid w:val="00FD7D59"/>
    <w:rsid w:val="00FE17AB"/>
    <w:rsid w:val="00FE1F24"/>
    <w:rsid w:val="00FE2004"/>
    <w:rsid w:val="00FE2655"/>
    <w:rsid w:val="00FE2879"/>
    <w:rsid w:val="00FE2A92"/>
    <w:rsid w:val="00FE3E72"/>
    <w:rsid w:val="00FE70F1"/>
    <w:rsid w:val="00FE7697"/>
    <w:rsid w:val="00FE7C7C"/>
    <w:rsid w:val="00FF00D4"/>
    <w:rsid w:val="00FF15CB"/>
    <w:rsid w:val="00FF189F"/>
    <w:rsid w:val="00FF2F5C"/>
    <w:rsid w:val="00FF3193"/>
    <w:rsid w:val="00FF4A62"/>
    <w:rsid w:val="00FF60D6"/>
    <w:rsid w:val="00FF6933"/>
    <w:rsid w:val="00FF69D3"/>
    <w:rsid w:val="00FF7CFB"/>
    <w:rsid w:val="57FE6893"/>
    <w:rsid w:val="9DAFA6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iPriority w:val="0"/>
    <w:pPr>
      <w:keepNext/>
      <w:keepLines/>
      <w:spacing w:before="260" w:after="260" w:line="416" w:lineRule="auto"/>
      <w:outlineLvl w:val="2"/>
    </w:pPr>
    <w:rPr>
      <w:b/>
      <w:bCs/>
      <w:sz w:val="32"/>
      <w:szCs w:val="32"/>
    </w:rPr>
  </w:style>
  <w:style w:type="paragraph" w:styleId="5">
    <w:name w:val="heading 4"/>
    <w:basedOn w:val="1"/>
    <w:uiPriority w:val="0"/>
    <w:pPr>
      <w:widowControl/>
      <w:spacing w:before="100" w:beforeAutospacing="1" w:after="100" w:afterAutospacing="1"/>
      <w:jc w:val="left"/>
      <w:outlineLvl w:val="3"/>
    </w:pPr>
    <w:rPr>
      <w:rFonts w:ascii="宋体" w:hAnsi="宋体" w:cs="宋体"/>
      <w:b/>
      <w:bCs/>
      <w:kern w:val="0"/>
      <w:sz w:val="24"/>
    </w:rPr>
  </w:style>
  <w:style w:type="character" w:default="1" w:styleId="24">
    <w:name w:val="Default Paragraph Font"/>
    <w:link w:val="25"/>
    <w:semiHidden/>
    <w:uiPriority w:val="0"/>
  </w:style>
  <w:style w:type="table" w:default="1" w:styleId="21">
    <w:name w:val="Normal Table"/>
    <w:semiHidden/>
    <w:uiPriority w:val="0"/>
    <w:tblPr>
      <w:tblStyle w:val="21"/>
      <w:tblCellMar>
        <w:top w:w="0" w:type="dxa"/>
        <w:left w:w="108" w:type="dxa"/>
        <w:bottom w:w="0" w:type="dxa"/>
        <w:right w:w="108" w:type="dxa"/>
      </w:tblCellMar>
    </w:tblPr>
    <w:trPr>
      <w:wBefore w:w="0" w:type="dxa"/>
    </w:trPr>
  </w:style>
  <w:style w:type="paragraph" w:styleId="6">
    <w:name w:val="Document Map"/>
    <w:basedOn w:val="1"/>
    <w:semiHidden/>
    <w:uiPriority w:val="0"/>
    <w:pPr>
      <w:shd w:val="clear" w:color="auto" w:fill="000080"/>
    </w:pPr>
  </w:style>
  <w:style w:type="paragraph" w:styleId="7">
    <w:name w:val="Body Text 3"/>
    <w:basedOn w:val="1"/>
    <w:uiPriority w:val="0"/>
    <w:pPr>
      <w:spacing w:line="600" w:lineRule="exact"/>
    </w:pPr>
    <w:rPr>
      <w:rFonts w:eastAsia="仿宋_GB2312"/>
      <w:sz w:val="32"/>
    </w:rPr>
  </w:style>
  <w:style w:type="paragraph" w:styleId="8">
    <w:name w:val="Body Text"/>
    <w:basedOn w:val="1"/>
    <w:uiPriority w:val="0"/>
    <w:rPr>
      <w:rFonts w:eastAsia="华文中宋"/>
      <w:w w:val="52"/>
      <w:sz w:val="144"/>
    </w:rPr>
  </w:style>
  <w:style w:type="paragraph" w:styleId="9">
    <w:name w:val="Body Text Indent"/>
    <w:basedOn w:val="1"/>
    <w:uiPriority w:val="0"/>
    <w:pPr>
      <w:spacing w:line="700" w:lineRule="exact"/>
      <w:ind w:firstLine="600"/>
    </w:pPr>
    <w:rPr>
      <w:rFonts w:eastAsia="仿宋_GB2312"/>
      <w:sz w:val="32"/>
      <w:szCs w:val="30"/>
    </w:rPr>
  </w:style>
  <w:style w:type="paragraph" w:styleId="10">
    <w:name w:val="Plain Text"/>
    <w:basedOn w:val="1"/>
    <w:uiPriority w:val="0"/>
    <w:pPr>
      <w:widowControl/>
      <w:spacing w:before="100" w:beforeAutospacing="1" w:after="100" w:afterAutospacing="1"/>
      <w:jc w:val="left"/>
    </w:pPr>
    <w:rPr>
      <w:rFonts w:ascii="宋体" w:hAnsi="宋体"/>
      <w:color w:val="000000"/>
      <w:kern w:val="0"/>
      <w:sz w:val="24"/>
    </w:rPr>
  </w:style>
  <w:style w:type="paragraph" w:styleId="11">
    <w:name w:val="Date"/>
    <w:basedOn w:val="1"/>
    <w:next w:val="1"/>
    <w:uiPriority w:val="0"/>
    <w:pPr>
      <w:ind w:left="100" w:leftChars="2500"/>
    </w:pPr>
  </w:style>
  <w:style w:type="paragraph" w:styleId="12">
    <w:name w:val="Body Text Indent 2"/>
    <w:basedOn w:val="1"/>
    <w:uiPriority w:val="0"/>
    <w:pPr>
      <w:spacing w:line="600" w:lineRule="exact"/>
      <w:ind w:firstLine="880" w:firstLineChars="200"/>
      <w:jc w:val="center"/>
    </w:pPr>
    <w:rPr>
      <w:rFonts w:ascii="华文中宋" w:hAnsi="华文中宋" w:eastAsia="华文中宋"/>
      <w:sz w:val="44"/>
    </w:rPr>
  </w:style>
  <w:style w:type="paragraph" w:styleId="13">
    <w:name w:val="Balloon Text"/>
    <w:basedOn w:val="1"/>
    <w:link w:val="48"/>
    <w:semiHidden/>
    <w:uiPriority w:val="0"/>
    <w:rPr>
      <w:sz w:val="18"/>
      <w:szCs w:val="18"/>
    </w:rPr>
  </w:style>
  <w:style w:type="paragraph" w:styleId="14">
    <w:name w:val="footer"/>
    <w:basedOn w:val="1"/>
    <w:link w:val="31"/>
    <w:uiPriority w:val="0"/>
    <w:pPr>
      <w:tabs>
        <w:tab w:val="center" w:pos="4153"/>
        <w:tab w:val="right" w:pos="8306"/>
      </w:tabs>
      <w:snapToGrid w:val="0"/>
      <w:jc w:val="left"/>
    </w:pPr>
    <w:rPr>
      <w:sz w:val="18"/>
      <w:szCs w:val="18"/>
    </w:rPr>
  </w:style>
  <w:style w:type="paragraph" w:styleId="15">
    <w:name w:val="header"/>
    <w:basedOn w:val="1"/>
    <w:link w:val="32"/>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uiPriority w:val="0"/>
    <w:pPr>
      <w:spacing w:line="460" w:lineRule="exact"/>
      <w:ind w:firstLine="640" w:firstLineChars="200"/>
    </w:pPr>
    <w:rPr>
      <w:rFonts w:eastAsia="仿宋_GB2312"/>
      <w:sz w:val="32"/>
    </w:rPr>
  </w:style>
  <w:style w:type="paragraph" w:styleId="17">
    <w:name w:val="Body Text 2"/>
    <w:basedOn w:val="1"/>
    <w:uiPriority w:val="0"/>
    <w:pPr>
      <w:jc w:val="center"/>
    </w:pPr>
    <w:rPr>
      <w:rFonts w:ascii="宋体" w:hAnsi="宋体"/>
      <w:sz w:val="70"/>
    </w:rPr>
  </w:style>
  <w:style w:type="paragraph" w:styleId="1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Normal (Web)"/>
    <w:basedOn w:val="1"/>
    <w:uiPriority w:val="0"/>
    <w:pPr>
      <w:widowControl/>
      <w:spacing w:before="100" w:beforeAutospacing="1" w:after="100" w:afterAutospacing="1"/>
      <w:jc w:val="left"/>
    </w:pPr>
    <w:rPr>
      <w:rFonts w:ascii="宋体" w:hAnsi="宋体"/>
      <w:kern w:val="0"/>
      <w:sz w:val="24"/>
    </w:rPr>
  </w:style>
  <w:style w:type="paragraph" w:styleId="20">
    <w:name w:val="Body Text First Indent 2"/>
    <w:basedOn w:val="9"/>
    <w:uiPriority w:val="0"/>
    <w:pPr>
      <w:spacing w:after="120" w:line="240" w:lineRule="auto"/>
      <w:ind w:left="420" w:leftChars="200" w:firstLine="420" w:firstLineChars="200"/>
    </w:pPr>
    <w:rPr>
      <w:rFonts w:eastAsia="宋体"/>
      <w:sz w:val="21"/>
      <w:szCs w:val="24"/>
    </w:rPr>
  </w:style>
  <w:style w:type="table" w:styleId="22">
    <w:name w:val="Table Grid"/>
    <w:basedOn w:val="21"/>
    <w:uiPriority w:val="0"/>
    <w:pPr>
      <w:widowControl w:val="0"/>
      <w:jc w:val="both"/>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Elegant"/>
    <w:basedOn w:val="21"/>
    <w:uiPriority w:val="0"/>
    <w:pPr>
      <w:widowControl w:val="0"/>
      <w:jc w:val="both"/>
    </w:pPr>
    <w:tblPr>
      <w:tblStyle w:val="21"/>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21"/>
      </w:tblPr>
      <w:tcPr>
        <w:tcBorders>
          <w:tl2br w:val="nil"/>
          <w:tr2bl w:val="nil"/>
        </w:tcBorders>
      </w:tcPr>
    </w:tblStylePr>
  </w:style>
  <w:style w:type="paragraph" w:customStyle="1" w:styleId="25">
    <w:name w:val=" Char1"/>
    <w:basedOn w:val="1"/>
    <w:link w:val="24"/>
    <w:uiPriority w:val="0"/>
    <w:pPr>
      <w:widowControl/>
      <w:spacing w:after="160" w:line="240" w:lineRule="exact"/>
      <w:jc w:val="left"/>
    </w:pPr>
    <w:rPr>
      <w:rFonts w:eastAsia="仿宋_GB2312"/>
      <w:sz w:val="32"/>
      <w:szCs w:val="32"/>
    </w:rPr>
  </w:style>
  <w:style w:type="character" w:styleId="26">
    <w:name w:val="Strong"/>
    <w:basedOn w:val="24"/>
    <w:uiPriority w:val="0"/>
    <w:rPr>
      <w:b/>
      <w:bCs/>
    </w:rPr>
  </w:style>
  <w:style w:type="character" w:styleId="27">
    <w:name w:val="page number"/>
    <w:basedOn w:val="24"/>
    <w:uiPriority w:val="0"/>
  </w:style>
  <w:style w:type="character" w:styleId="28">
    <w:name w:val="FollowedHyperlink"/>
    <w:uiPriority w:val="0"/>
    <w:rPr>
      <w:color w:val="000000"/>
      <w:u w:val="none"/>
    </w:rPr>
  </w:style>
  <w:style w:type="character" w:styleId="29">
    <w:name w:val="Hyperlink"/>
    <w:basedOn w:val="24"/>
    <w:uiPriority w:val="0"/>
    <w:rPr>
      <w:color w:val="0000FF"/>
      <w:u w:val="single"/>
    </w:rPr>
  </w:style>
  <w:style w:type="paragraph" w:customStyle="1" w:styleId="30">
    <w:name w:val="Char Char Char Char Char Char"/>
    <w:basedOn w:val="1"/>
    <w:link w:val="24"/>
    <w:uiPriority w:val="0"/>
    <w:pPr>
      <w:widowControl/>
      <w:spacing w:after="160" w:line="240" w:lineRule="exact"/>
      <w:jc w:val="left"/>
    </w:pPr>
    <w:rPr>
      <w:rFonts w:ascii="仿宋_GB2312" w:eastAsia="仿宋_GB2312"/>
      <w:sz w:val="32"/>
      <w:szCs w:val="32"/>
    </w:rPr>
  </w:style>
  <w:style w:type="character" w:customStyle="1" w:styleId="31">
    <w:name w:val=" Char Char2"/>
    <w:basedOn w:val="24"/>
    <w:link w:val="14"/>
    <w:uiPriority w:val="0"/>
    <w:rPr>
      <w:rFonts w:eastAsia="宋体"/>
      <w:kern w:val="2"/>
      <w:sz w:val="18"/>
      <w:szCs w:val="18"/>
      <w:lang w:val="en-US" w:eastAsia="zh-CN" w:bidi="ar-SA"/>
    </w:rPr>
  </w:style>
  <w:style w:type="character" w:customStyle="1" w:styleId="32">
    <w:name w:val=" Char Char"/>
    <w:basedOn w:val="24"/>
    <w:link w:val="15"/>
    <w:uiPriority w:val="0"/>
    <w:rPr>
      <w:rFonts w:eastAsia="宋体"/>
      <w:kern w:val="2"/>
      <w:sz w:val="18"/>
      <w:szCs w:val="18"/>
      <w:lang w:val="en-US" w:eastAsia="zh-CN" w:bidi="ar-SA"/>
    </w:rPr>
  </w:style>
  <w:style w:type="character" w:customStyle="1" w:styleId="33">
    <w:name w:val="ziti21"/>
    <w:basedOn w:val="24"/>
    <w:uiPriority w:val="0"/>
    <w:rPr>
      <w:rFonts w:hint="default" w:ascii="ˎ̥" w:hAnsi="ˎ̥"/>
      <w:color w:val="000000"/>
      <w:sz w:val="21"/>
      <w:szCs w:val="21"/>
      <w:u w:val="none"/>
    </w:rPr>
  </w:style>
  <w:style w:type="character" w:customStyle="1" w:styleId="34">
    <w:name w:val="链接"/>
    <w:basedOn w:val="24"/>
    <w:uiPriority w:val="0"/>
    <w:rPr>
      <w:rFonts w:ascii="Times New Roman" w:eastAsia="宋体"/>
      <w:color w:val="0000FF"/>
      <w:sz w:val="21"/>
      <w:u w:val="single" w:color="0000FF"/>
      <w:vertAlign w:val="baseline"/>
      <w:lang w:val="en-US" w:eastAsia="zh-CN"/>
    </w:rPr>
  </w:style>
  <w:style w:type="paragraph" w:customStyle="1" w:styleId="35">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36">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7">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8">
    <w:name w:val="xl26"/>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9">
    <w:name w:val="xl27"/>
    <w:basedOn w:val="1"/>
    <w:uiPriority w:val="0"/>
    <w:pPr>
      <w:widowControl/>
      <w:pBdr>
        <w:top w:val="single" w:color="auto" w:sz="4" w:space="0"/>
        <w:bottom w:val="single" w:color="auto" w:sz="4" w:space="0"/>
      </w:pBdr>
      <w:spacing w:before="100" w:beforeAutospacing="1" w:after="100" w:afterAutospacing="1"/>
      <w:jc w:val="left"/>
    </w:pPr>
    <w:rPr>
      <w:rFonts w:ascii="宋体" w:hAnsi="宋体"/>
      <w:kern w:val="0"/>
      <w:sz w:val="20"/>
      <w:szCs w:val="20"/>
    </w:rPr>
  </w:style>
  <w:style w:type="paragraph" w:customStyle="1" w:styleId="40">
    <w:name w:val="xl28"/>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41">
    <w:name w:val="xl29"/>
    <w:basedOn w:val="1"/>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42">
    <w:name w:val="xl30"/>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43">
    <w:name w:val="xl31"/>
    <w:basedOn w:val="1"/>
    <w:uiPriority w:val="0"/>
    <w:pPr>
      <w:widowControl/>
      <w:pBdr>
        <w:top w:val="single" w:color="auto" w:sz="4" w:space="0"/>
      </w:pBdr>
      <w:spacing w:before="100" w:beforeAutospacing="1" w:after="100" w:afterAutospacing="1"/>
      <w:jc w:val="left"/>
    </w:pPr>
    <w:rPr>
      <w:rFonts w:ascii="宋体" w:hAnsi="宋体"/>
      <w:kern w:val="0"/>
      <w:sz w:val="20"/>
      <w:szCs w:val="20"/>
    </w:rPr>
  </w:style>
  <w:style w:type="paragraph" w:customStyle="1" w:styleId="44">
    <w:name w:val="xl32"/>
    <w:basedOn w:val="1"/>
    <w:uiPriority w:val="0"/>
    <w:pPr>
      <w:widowControl/>
      <w:pBdr>
        <w:bottom w:val="single" w:color="auto" w:sz="4" w:space="0"/>
      </w:pBdr>
      <w:spacing w:before="100" w:beforeAutospacing="1" w:after="100" w:afterAutospacing="1"/>
      <w:jc w:val="right"/>
    </w:pPr>
    <w:rPr>
      <w:rFonts w:ascii="宋体" w:hAnsi="宋体"/>
      <w:kern w:val="0"/>
      <w:sz w:val="24"/>
    </w:rPr>
  </w:style>
  <w:style w:type="paragraph" w:customStyle="1" w:styleId="45">
    <w:name w:val="xl33"/>
    <w:basedOn w:val="1"/>
    <w:uiPriority w:val="0"/>
    <w:pPr>
      <w:widowControl/>
      <w:spacing w:before="100" w:beforeAutospacing="1" w:after="100" w:afterAutospacing="1"/>
      <w:jc w:val="center"/>
    </w:pPr>
    <w:rPr>
      <w:rFonts w:hint="eastAsia" w:ascii="黑体" w:hAnsi="宋体" w:eastAsia="黑体"/>
      <w:kern w:val="0"/>
      <w:sz w:val="36"/>
      <w:szCs w:val="36"/>
    </w:rPr>
  </w:style>
  <w:style w:type="paragraph" w:customStyle="1" w:styleId="46">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47">
    <w:name w:val="目录标题"/>
    <w:basedOn w:val="1"/>
    <w:next w:val="1"/>
    <w:uiPriority w:val="0"/>
    <w:pPr>
      <w:widowControl/>
      <w:spacing w:before="215" w:after="419" w:line="436" w:lineRule="atLeast"/>
      <w:ind w:firstLine="419"/>
      <w:jc w:val="center"/>
      <w:textAlignment w:val="baseline"/>
    </w:pPr>
    <w:rPr>
      <w:rFonts w:ascii="Arial" w:eastAsia="黑体"/>
      <w:color w:val="000000"/>
      <w:spacing w:val="283"/>
      <w:kern w:val="0"/>
      <w:sz w:val="42"/>
      <w:szCs w:val="20"/>
      <w:u w:color="000000"/>
    </w:rPr>
  </w:style>
  <w:style w:type="character" w:customStyle="1" w:styleId="48">
    <w:name w:val="批注框文本 Char Char"/>
    <w:link w:val="13"/>
    <w:uiPriority w:val="0"/>
    <w:rPr>
      <w:rFonts w:eastAsia="宋体"/>
      <w:kern w:val="2"/>
      <w:sz w:val="18"/>
      <w:szCs w:val="18"/>
      <w:lang w:val="en-US" w:eastAsia="zh-CN" w:bidi="ar-SA"/>
    </w:rPr>
  </w:style>
  <w:style w:type="character" w:customStyle="1" w:styleId="49">
    <w:name w:val="style81"/>
    <w:basedOn w:val="24"/>
    <w:uiPriority w:val="0"/>
    <w:rPr>
      <w:rFonts w:hint="eastAsia" w:ascii="黑体" w:eastAsia="黑体"/>
      <w:b/>
      <w:bCs/>
      <w:sz w:val="27"/>
      <w:szCs w:val="27"/>
    </w:rPr>
  </w:style>
  <w:style w:type="character" w:customStyle="1" w:styleId="50">
    <w:name w:val="style21"/>
    <w:basedOn w:val="24"/>
    <w:uiPriority w:val="0"/>
    <w:rPr>
      <w:rFonts w:hint="default" w:ascii="Times New Roman" w:hAnsi="Times New Roman" w:cs="Times New Roman"/>
      <w:b/>
      <w:bCs/>
      <w:color w:val="FF0000"/>
      <w:sz w:val="80"/>
      <w:szCs w:val="80"/>
    </w:rPr>
  </w:style>
  <w:style w:type="paragraph" w:customStyle="1" w:styleId="51">
    <w:name w:val=" Char"/>
    <w:basedOn w:val="1"/>
    <w:uiPriority w:val="0"/>
    <w:pPr>
      <w:tabs>
        <w:tab w:val="left" w:pos="360"/>
      </w:tabs>
    </w:pPr>
    <w:rPr>
      <w:sz w:val="24"/>
    </w:rPr>
  </w:style>
  <w:style w:type="paragraph" w:customStyle="1" w:styleId="52">
    <w:name w:val="默认段落字体 Para Char Char Char Char Char Char Char Char Char Char Char Char Char Char Char1 Char Char Char Char"/>
    <w:basedOn w:val="6"/>
    <w:uiPriority w:val="0"/>
    <w:pPr>
      <w:adjustRightInd w:val="0"/>
      <w:spacing w:line="436" w:lineRule="exact"/>
      <w:ind w:left="357"/>
      <w:jc w:val="left"/>
      <w:outlineLvl w:val="3"/>
    </w:pPr>
    <w:rPr>
      <w:rFonts w:ascii="Tahoma" w:hAnsi="Tahoma"/>
      <w:b/>
      <w:sz w:val="24"/>
    </w:rPr>
  </w:style>
  <w:style w:type="paragraph" w:customStyle="1" w:styleId="53">
    <w:name w:val="p0"/>
    <w:basedOn w:val="1"/>
    <w:uiPriority w:val="0"/>
    <w:pPr>
      <w:widowControl/>
      <w:spacing w:line="365" w:lineRule="atLeast"/>
      <w:ind w:left="1"/>
      <w:textAlignment w:val="bottom"/>
    </w:pPr>
    <w:rPr>
      <w:kern w:val="0"/>
      <w:sz w:val="20"/>
      <w:szCs w:val="20"/>
    </w:rPr>
  </w:style>
  <w:style w:type="paragraph" w:customStyle="1" w:styleId="54">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55">
    <w:name w:val="Char"/>
    <w:basedOn w:val="1"/>
    <w:uiPriority w:val="0"/>
    <w:pPr>
      <w:tabs>
        <w:tab w:val="left" w:pos="360"/>
      </w:tabs>
    </w:pPr>
    <w:rPr>
      <w:sz w:val="24"/>
    </w:rPr>
  </w:style>
  <w:style w:type="character" w:customStyle="1" w:styleId="56">
    <w:name w:val="apple-style-span"/>
    <w:basedOn w:val="24"/>
    <w:uiPriority w:val="0"/>
  </w:style>
  <w:style w:type="paragraph" w:customStyle="1" w:styleId="57">
    <w:name w:val="Char Char Char"/>
    <w:basedOn w:val="1"/>
    <w:semiHidden/>
    <w:uiPriority w:val="0"/>
    <w:pPr>
      <w:widowControl/>
      <w:spacing w:after="160" w:line="240" w:lineRule="exact"/>
      <w:jc w:val="left"/>
    </w:pPr>
    <w:rPr>
      <w:rFonts w:ascii="Verdana" w:hAnsi="Verdana"/>
      <w:kern w:val="0"/>
      <w:sz w:val="20"/>
      <w:szCs w:val="20"/>
      <w:lang w:eastAsia="en-US"/>
    </w:rPr>
  </w:style>
  <w:style w:type="paragraph" w:customStyle="1" w:styleId="58">
    <w:name w:val="Char1"/>
    <w:basedOn w:val="1"/>
    <w:uiPriority w:val="0"/>
  </w:style>
  <w:style w:type="paragraph" w:customStyle="1" w:styleId="59">
    <w:name w:val="正文 New"/>
    <w:uiPriority w:val="0"/>
    <w:pPr>
      <w:widowControl w:val="0"/>
      <w:jc w:val="both"/>
    </w:pPr>
    <w:rPr>
      <w:kern w:val="2"/>
      <w:sz w:val="21"/>
      <w:szCs w:val="24"/>
      <w:lang w:val="en-US" w:eastAsia="zh-CN" w:bidi="ar-SA"/>
    </w:rPr>
  </w:style>
  <w:style w:type="paragraph" w:customStyle="1" w:styleId="60">
    <w:name w:val="正文 New New"/>
    <w:uiPriority w:val="0"/>
    <w:pPr>
      <w:widowControl w:val="0"/>
      <w:jc w:val="both"/>
    </w:pPr>
    <w:rPr>
      <w:kern w:val="2"/>
      <w:sz w:val="21"/>
      <w:szCs w:val="24"/>
      <w:lang w:val="en-US" w:eastAsia="zh-CN" w:bidi="ar-SA"/>
    </w:rPr>
  </w:style>
  <w:style w:type="paragraph" w:customStyle="1" w:styleId="61">
    <w:name w:val=" Char Char1 Char Char"/>
    <w:basedOn w:val="1"/>
    <w:uiPriority w:val="0"/>
    <w:pPr>
      <w:widowControl/>
      <w:spacing w:after="160" w:line="240" w:lineRule="exact"/>
      <w:jc w:val="left"/>
    </w:pPr>
    <w:rPr>
      <w:rFonts w:eastAsia="仿宋_GB2312"/>
      <w:kern w:val="0"/>
      <w:sz w:val="18"/>
      <w:szCs w:val="20"/>
    </w:rPr>
  </w:style>
  <w:style w:type="paragraph" w:customStyle="1" w:styleId="62">
    <w:name w:val="0"/>
    <w:basedOn w:val="1"/>
    <w:next w:val="20"/>
    <w:uiPriority w:val="0"/>
    <w:pPr>
      <w:spacing w:line="580" w:lineRule="exact"/>
      <w:ind w:firstLine="200" w:firstLineChars="200"/>
      <w:jc w:val="left"/>
    </w:pPr>
    <w:rPr>
      <w:rFonts w:ascii="宋体" w:hAnsi="宋体"/>
      <w:spacing w:val="-6"/>
      <w:sz w:val="28"/>
      <w:szCs w:val="44"/>
    </w:rPr>
  </w:style>
  <w:style w:type="paragraph" w:customStyle="1" w:styleId="63">
    <w:name w:val=" Char Char Char Char Char Char"/>
    <w:basedOn w:val="1"/>
    <w:uiPriority w:val="0"/>
    <w:pPr>
      <w:widowControl/>
      <w:spacing w:after="160" w:line="240" w:lineRule="exact"/>
      <w:ind w:firstLine="980" w:firstLineChars="350"/>
      <w:jc w:val="left"/>
    </w:pPr>
    <w:rPr>
      <w:sz w:val="32"/>
      <w:szCs w:val="32"/>
    </w:rPr>
  </w:style>
  <w:style w:type="paragraph" w:customStyle="1" w:styleId="64">
    <w:name w:val="样式 正文文本缩进 2 + 行距: 单倍行距"/>
    <w:basedOn w:val="12"/>
    <w:uiPriority w:val="0"/>
    <w:pPr>
      <w:tabs>
        <w:tab w:val="left" w:pos="5072"/>
        <w:tab w:val="left" w:pos="6342"/>
        <w:tab w:val="left" w:pos="8469"/>
        <w:tab w:val="left" w:pos="8541"/>
      </w:tabs>
      <w:spacing w:line="240" w:lineRule="auto"/>
      <w:ind w:firstLine="560"/>
      <w:jc w:val="both"/>
    </w:pPr>
    <w:rPr>
      <w:rFonts w:ascii="仿宋_GB2312" w:hAnsi="Times New Roman" w:eastAsia="楷体_GB2312" w:cs="宋体"/>
      <w:kern w:val="0"/>
      <w:sz w:val="28"/>
      <w:szCs w:val="20"/>
    </w:rPr>
  </w:style>
  <w:style w:type="paragraph" w:customStyle="1" w:styleId="65">
    <w:name w:val="样式 +中文正文 两端对齐 首行缩进:  2 字符"/>
    <w:basedOn w:val="1"/>
    <w:uiPriority w:val="0"/>
    <w:pPr>
      <w:ind w:firstLine="560" w:firstLineChars="200"/>
    </w:pPr>
    <w:rPr>
      <w:rFonts w:ascii="宋体" w:hAnsi="宋体" w:eastAsia="仿宋_GB2312"/>
      <w:kern w:val="0"/>
      <w:sz w:val="28"/>
      <w:szCs w:val="20"/>
    </w:rPr>
  </w:style>
  <w:style w:type="paragraph" w:customStyle="1" w:styleId="66">
    <w:name w:val="表头"/>
    <w:basedOn w:val="1"/>
    <w:uiPriority w:val="0"/>
    <w:pPr>
      <w:widowControl/>
      <w:adjustRightInd w:val="0"/>
      <w:snapToGrid w:val="0"/>
      <w:jc w:val="center"/>
    </w:pPr>
    <w:rPr>
      <w:rFonts w:ascii="宋体" w:hAnsi="宋体" w:eastAsia="黑体"/>
      <w:color w:val="000000"/>
      <w:kern w:val="0"/>
      <w:sz w:val="28"/>
      <w:szCs w:val="28"/>
    </w:rPr>
  </w:style>
  <w:style w:type="paragraph" w:customStyle="1" w:styleId="67">
    <w:name w:val="默认段落字体 Para Char Char Char Char"/>
    <w:basedOn w:val="1"/>
    <w:uiPriority w:val="0"/>
    <w:rPr>
      <w:szCs w:val="20"/>
    </w:rPr>
  </w:style>
  <w:style w:type="character" w:customStyle="1" w:styleId="68">
    <w:name w:val="font11"/>
    <w:basedOn w:val="24"/>
    <w:uiPriority w:val="0"/>
    <w:rPr>
      <w:rFonts w:hint="default" w:ascii="Times New Roman" w:hAnsi="Times New Roman" w:cs="Times New Roman"/>
      <w:color w:val="000000"/>
      <w:sz w:val="32"/>
      <w:szCs w:val="32"/>
      <w:u w:val="none"/>
    </w:rPr>
  </w:style>
  <w:style w:type="character" w:customStyle="1" w:styleId="69">
    <w:name w:val="font21"/>
    <w:basedOn w:val="24"/>
    <w:uiPriority w:val="0"/>
    <w:rPr>
      <w:rFonts w:hint="default" w:ascii="Times New Roman" w:hAnsi="Times New Roman" w:cs="Times New Roman"/>
      <w:color w:val="000000"/>
      <w:sz w:val="20"/>
      <w:szCs w:val="20"/>
      <w:u w:val="none"/>
    </w:rPr>
  </w:style>
  <w:style w:type="character" w:customStyle="1" w:styleId="70">
    <w:name w:val="font31"/>
    <w:basedOn w:val="24"/>
    <w:uiPriority w:val="0"/>
    <w:rPr>
      <w:rFonts w:hint="eastAsia" w:ascii="宋体" w:hAnsi="宋体" w:eastAsia="宋体"/>
      <w:color w:val="000000"/>
      <w:sz w:val="20"/>
      <w:szCs w:val="20"/>
      <w:u w:val="none"/>
    </w:rPr>
  </w:style>
  <w:style w:type="character" w:customStyle="1" w:styleId="71">
    <w:name w:val="font41"/>
    <w:basedOn w:val="24"/>
    <w:uiPriority w:val="0"/>
    <w:rPr>
      <w:rFonts w:hint="default" w:ascii="Times New Roman" w:hAnsi="Times New Roman" w:cs="Times New Roman"/>
      <w:color w:val="000000"/>
      <w:sz w:val="24"/>
      <w:szCs w:val="24"/>
      <w:u w:val="none"/>
    </w:rPr>
  </w:style>
  <w:style w:type="character" w:customStyle="1" w:styleId="72">
    <w:name w:val="font01"/>
    <w:basedOn w:val="24"/>
    <w:uiPriority w:val="0"/>
    <w:rPr>
      <w:rFonts w:hint="eastAsia" w:ascii="宋体" w:hAnsi="宋体" w:eastAsia="宋体"/>
      <w:color w:val="000000"/>
      <w:sz w:val="24"/>
      <w:szCs w:val="24"/>
      <w:u w:val="none"/>
    </w:rPr>
  </w:style>
  <w:style w:type="paragraph" w:customStyle="1" w:styleId="73">
    <w:name w:val="Char 正文"/>
    <w:basedOn w:val="2"/>
    <w:uiPriority w:val="0"/>
    <w:pPr>
      <w:snapToGrid w:val="0"/>
      <w:spacing w:before="240" w:after="240" w:line="348" w:lineRule="auto"/>
    </w:pPr>
  </w:style>
  <w:style w:type="paragraph" w:customStyle="1" w:styleId="74">
    <w:name w:val="1"/>
    <w:basedOn w:val="1"/>
    <w:uiPriority w:val="0"/>
    <w:pPr>
      <w:widowControl/>
      <w:adjustRightInd w:val="0"/>
      <w:spacing w:after="160" w:line="240" w:lineRule="exact"/>
      <w:jc w:val="left"/>
      <w:textAlignment w:val="baseline"/>
    </w:pPr>
  </w:style>
  <w:style w:type="paragraph" w:customStyle="1" w:styleId="75">
    <w:name w:val="Normal (Web)"/>
    <w:basedOn w:val="1"/>
    <w:uiPriority w:val="0"/>
    <w:pPr>
      <w:widowControl/>
      <w:spacing w:before="100" w:beforeAutospacing="1" w:after="100" w:afterAutospacing="1"/>
      <w:jc w:val="left"/>
    </w:pPr>
    <w:rPr>
      <w:rFonts w:ascii="宋体" w:hAnsi="宋体" w:cs="宋体"/>
      <w:color w:val="000000"/>
      <w:kern w:val="0"/>
      <w:sz w:val="24"/>
    </w:rPr>
  </w:style>
  <w:style w:type="character" w:customStyle="1" w:styleId="76">
    <w:name w:val="apple-converted-space"/>
    <w:basedOn w:val="24"/>
    <w:uiPriority w:val="0"/>
  </w:style>
  <w:style w:type="paragraph" w:customStyle="1" w:styleId="77">
    <w:name w:val="正文 New New New New New"/>
    <w:uiPriority w:val="0"/>
    <w:pPr>
      <w:widowControl w:val="0"/>
      <w:jc w:val="both"/>
    </w:pPr>
    <w:rPr>
      <w:kern w:val="2"/>
      <w:sz w:val="21"/>
      <w:szCs w:val="24"/>
      <w:lang w:val="en-US" w:eastAsia="zh-CN" w:bidi="ar-SA"/>
    </w:rPr>
  </w:style>
  <w:style w:type="paragraph" w:customStyle="1" w:styleId="78">
    <w:name w:val="正文 New New New New New New"/>
    <w:uiPriority w:val="0"/>
    <w:pPr>
      <w:widowControl w:val="0"/>
      <w:jc w:val="both"/>
    </w:pPr>
    <w:rPr>
      <w:kern w:val="2"/>
      <w:sz w:val="21"/>
      <w:lang w:val="en-US" w:eastAsia="zh-CN" w:bidi="ar-SA"/>
    </w:rPr>
  </w:style>
  <w:style w:type="paragraph" w:customStyle="1" w:styleId="79">
    <w:name w:val="正文 New New New New"/>
    <w:uiPriority w:val="0"/>
    <w:pPr>
      <w:widowControl w:val="0"/>
      <w:jc w:val="both"/>
    </w:pPr>
    <w:rPr>
      <w:kern w:val="2"/>
      <w:sz w:val="21"/>
      <w:szCs w:val="22"/>
      <w:lang w:val="en-US" w:eastAsia="zh-CN" w:bidi="ar-SA"/>
    </w:rPr>
  </w:style>
  <w:style w:type="paragraph" w:customStyle="1" w:styleId="80">
    <w:name w:val="正文 New New New New New New New"/>
    <w:uiPriority w:val="0"/>
    <w:pPr>
      <w:widowControl w:val="0"/>
      <w:jc w:val="both"/>
    </w:pPr>
    <w:rPr>
      <w:kern w:val="2"/>
      <w:sz w:val="21"/>
      <w:szCs w:val="22"/>
      <w:lang w:val="en-US" w:eastAsia="zh-CN" w:bidi="ar-SA"/>
    </w:rPr>
  </w:style>
  <w:style w:type="paragraph" w:customStyle="1" w:styleId="81">
    <w:name w:val="p17"/>
    <w:basedOn w:val="1"/>
    <w:uiPriority w:val="0"/>
    <w:pPr>
      <w:widowControl/>
      <w:jc w:val="center"/>
    </w:pPr>
    <w:rPr>
      <w:rFonts w:ascii="宋体" w:hAnsi="宋体" w:cs="宋体"/>
      <w:kern w:val="0"/>
      <w:sz w:val="70"/>
      <w:szCs w:val="70"/>
    </w:rPr>
  </w:style>
  <w:style w:type="paragraph" w:customStyle="1" w:styleId="82">
    <w:name w:val="p16"/>
    <w:basedOn w:val="1"/>
    <w:uiPriority w:val="0"/>
    <w:pPr>
      <w:widowControl/>
      <w:jc w:val="center"/>
    </w:pPr>
    <w:rPr>
      <w:rFonts w:ascii="宋体" w:hAnsi="宋体" w:cs="宋体"/>
      <w:kern w:val="0"/>
      <w:sz w:val="70"/>
      <w:szCs w:val="70"/>
    </w:rPr>
  </w:style>
  <w:style w:type="character" w:customStyle="1" w:styleId="83">
    <w:name w:val=" Char Char Char"/>
    <w:basedOn w:val="24"/>
    <w:uiPriority w:val="0"/>
    <w:rPr>
      <w:rFonts w:eastAsia="宋体"/>
      <w:kern w:val="2"/>
      <w:sz w:val="18"/>
      <w:szCs w:val="18"/>
      <w:lang w:val="en-US" w:eastAsia="zh-CN" w:bidi="ar-SA"/>
    </w:rPr>
  </w:style>
  <w:style w:type="paragraph" w:customStyle="1" w:styleId="84">
    <w:name w:val="列出段落"/>
    <w:basedOn w:val="1"/>
    <w:uiPriority w:val="0"/>
    <w:pPr>
      <w:ind w:firstLine="420" w:firstLineChars="200"/>
    </w:pPr>
    <w:rPr>
      <w:rFonts w:ascii="仿宋_GB2312" w:hAnsi="Calibri" w:eastAsia="仿宋_GB231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852</Words>
  <Characters>4862</Characters>
  <Lines>40</Lines>
  <Paragraphs>11</Paragraphs>
  <TotalTime>0</TotalTime>
  <ScaleCrop>false</ScaleCrop>
  <LinksUpToDate>false</LinksUpToDate>
  <CharactersWithSpaces>5703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2019-04-23T09:53:00Z</dcterms:created>
  <dc:creator>user_common</dc:creator>
  <cp:lastModifiedBy>独身仙子</cp:lastModifiedBy>
  <cp:lastPrinted>2019-04-23T10:27:00Z</cp:lastPrinted>
  <dcterms:modified xsi:type="dcterms:W3CDTF">2023-10-24T15:01:25Z</dcterms:modified>
  <dc:title>淄博市周村区人民政府文件</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