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eastAsia="方正小标宋简体"/>
          <w:sz w:val="44"/>
          <w:szCs w:val="44"/>
        </w:rPr>
      </w:pPr>
      <w:r>
        <w:rPr>
          <w:rFonts w:eastAsia="方正小标宋简体"/>
          <w:sz w:val="44"/>
          <w:szCs w:val="44"/>
        </w:rPr>
        <w:t>关于印发周村区药品安全事件应急预案的通知</w:t>
      </w:r>
    </w:p>
    <w:p>
      <w:pPr>
        <w:spacing w:line="600" w:lineRule="exact"/>
        <w:jc w:val="center"/>
        <w:rPr>
          <w:rFonts w:eastAsia="仿宋_GB2312"/>
          <w:sz w:val="32"/>
        </w:rPr>
      </w:pPr>
      <w:r>
        <w:rPr>
          <w:rFonts w:eastAsia="仿宋_GB2312"/>
          <w:sz w:val="32"/>
        </w:rPr>
        <w:t>周政办字〔2023〕15号</w:t>
      </w:r>
    </w:p>
    <w:p>
      <w:pPr>
        <w:spacing w:line="580" w:lineRule="exact"/>
        <w:ind w:firstLine="640" w:firstLineChars="200"/>
        <w:rPr>
          <w:rFonts w:eastAsia="仿宋_GB2312"/>
          <w:sz w:val="32"/>
          <w:szCs w:val="32"/>
        </w:rPr>
      </w:pPr>
    </w:p>
    <w:p>
      <w:pPr>
        <w:spacing w:line="580" w:lineRule="exact"/>
        <w:rPr>
          <w:rFonts w:eastAsia="仿宋_GB2312"/>
          <w:sz w:val="32"/>
          <w:szCs w:val="32"/>
        </w:rPr>
      </w:pPr>
      <w:r>
        <w:rPr>
          <w:rFonts w:eastAsia="仿宋_GB2312"/>
          <w:sz w:val="32"/>
          <w:szCs w:val="32"/>
        </w:rPr>
        <w:t>各镇政府、街道办事处，周村经济开发区管委会，区政府有关部门，有关单位：</w:t>
      </w:r>
    </w:p>
    <w:p>
      <w:pPr>
        <w:pStyle w:val="6"/>
        <w:spacing w:after="0" w:afterLines="0" w:line="580" w:lineRule="exact"/>
        <w:ind w:left="0" w:leftChars="0" w:firstLine="640"/>
        <w:rPr>
          <w:rFonts w:eastAsia="仿宋_GB2312"/>
          <w:sz w:val="32"/>
          <w:szCs w:val="32"/>
        </w:rPr>
      </w:pPr>
      <w:r>
        <w:rPr>
          <w:rFonts w:eastAsia="仿宋_GB2312"/>
          <w:sz w:val="32"/>
          <w:szCs w:val="32"/>
        </w:rPr>
        <w:t>《周村区药品安全事件应急预案》已经区政府同意，现印发给你们，请遵照执行。</w:t>
      </w:r>
    </w:p>
    <w:p>
      <w:pPr>
        <w:tabs>
          <w:tab w:val="left" w:pos="9240"/>
          <w:tab w:val="left" w:pos="10080"/>
          <w:tab w:val="left" w:pos="12180"/>
        </w:tabs>
        <w:spacing w:line="640" w:lineRule="exact"/>
        <w:ind w:firstLine="640" w:firstLineChars="200"/>
        <w:rPr>
          <w:rFonts w:eastAsia="仿宋_GB2312"/>
          <w:sz w:val="32"/>
          <w:szCs w:val="32"/>
        </w:rPr>
      </w:pPr>
    </w:p>
    <w:p>
      <w:pPr>
        <w:tabs>
          <w:tab w:val="left" w:pos="9240"/>
          <w:tab w:val="left" w:pos="10080"/>
          <w:tab w:val="left" w:pos="12180"/>
        </w:tabs>
        <w:spacing w:line="640" w:lineRule="exact"/>
        <w:ind w:firstLine="640" w:firstLineChars="200"/>
        <w:rPr>
          <w:rFonts w:eastAsia="仿宋_GB2312"/>
          <w:sz w:val="32"/>
          <w:szCs w:val="32"/>
        </w:rPr>
      </w:pPr>
    </w:p>
    <w:p>
      <w:pPr>
        <w:tabs>
          <w:tab w:val="left" w:pos="7035"/>
          <w:tab w:val="left" w:pos="9240"/>
          <w:tab w:val="left" w:pos="10080"/>
          <w:tab w:val="left" w:pos="12180"/>
        </w:tabs>
        <w:wordWrap w:val="0"/>
        <w:spacing w:line="560" w:lineRule="exact"/>
        <w:ind w:right="865" w:rightChars="412"/>
        <w:jc w:val="right"/>
        <w:rPr>
          <w:rFonts w:eastAsia="仿宋_GB2312"/>
          <w:sz w:val="32"/>
          <w:szCs w:val="32"/>
        </w:rPr>
      </w:pPr>
      <w:r>
        <w:rPr>
          <w:rFonts w:eastAsia="仿宋_GB2312"/>
          <w:sz w:val="32"/>
          <w:szCs w:val="32"/>
        </w:rPr>
        <w:t>周村区人民政府办公室</w:t>
      </w:r>
    </w:p>
    <w:p>
      <w:pPr>
        <w:tabs>
          <w:tab w:val="left" w:pos="7601"/>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2023年4月21日</w:t>
      </w:r>
    </w:p>
    <w:p>
      <w:pPr>
        <w:tabs>
          <w:tab w:val="left" w:pos="7601"/>
          <w:tab w:val="left" w:pos="7770"/>
        </w:tabs>
        <w:spacing w:line="560" w:lineRule="exact"/>
        <w:ind w:right="1178" w:rightChars="561" w:firstLine="640" w:firstLineChars="200"/>
        <w:rPr>
          <w:rFonts w:eastAsia="仿宋_GB2312"/>
          <w:sz w:val="32"/>
          <w:szCs w:val="32"/>
        </w:rPr>
      </w:pPr>
      <w:r>
        <w:rPr>
          <w:rFonts w:eastAsia="仿宋_GB2312"/>
          <w:sz w:val="32"/>
          <w:szCs w:val="32"/>
        </w:rPr>
        <w:t>（此件公开发布）</w:t>
      </w:r>
    </w:p>
    <w:p>
      <w:pPr>
        <w:tabs>
          <w:tab w:val="left" w:pos="7601"/>
          <w:tab w:val="left" w:pos="7770"/>
        </w:tabs>
        <w:spacing w:line="560" w:lineRule="exact"/>
        <w:ind w:right="1178" w:rightChars="561" w:firstLine="640" w:firstLineChars="200"/>
        <w:rPr>
          <w:rFonts w:eastAsia="仿宋_GB2312"/>
          <w:sz w:val="32"/>
          <w:szCs w:val="32"/>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r>
        <w:rPr>
          <w:rFonts w:eastAsia="方正小标宋简体"/>
          <w:sz w:val="44"/>
          <w:szCs w:val="44"/>
        </w:rPr>
        <w:t>周村区药品安全事件应急预案</w:t>
      </w:r>
    </w:p>
    <w:p>
      <w:pPr>
        <w:spacing w:line="560" w:lineRule="exact"/>
        <w:ind w:firstLine="640" w:firstLineChars="200"/>
        <w:rPr>
          <w:rFonts w:eastAsia="仿宋_GB2312"/>
          <w:sz w:val="32"/>
          <w:szCs w:val="32"/>
        </w:rPr>
      </w:pPr>
    </w:p>
    <w:p>
      <w:pPr>
        <w:spacing w:line="560" w:lineRule="exact"/>
        <w:ind w:firstLine="640" w:firstLineChars="200"/>
        <w:rPr>
          <w:rFonts w:eastAsia="黑体"/>
          <w:sz w:val="32"/>
          <w:szCs w:val="32"/>
        </w:rPr>
      </w:pPr>
      <w:r>
        <w:rPr>
          <w:rFonts w:eastAsia="黑体"/>
          <w:sz w:val="32"/>
          <w:szCs w:val="32"/>
        </w:rPr>
        <w:t>1  总 则</w:t>
      </w:r>
    </w:p>
    <w:p>
      <w:pPr>
        <w:spacing w:line="560" w:lineRule="exact"/>
        <w:ind w:firstLine="640" w:firstLineChars="200"/>
        <w:rPr>
          <w:rFonts w:eastAsia="楷体_GB2312"/>
          <w:sz w:val="32"/>
          <w:szCs w:val="32"/>
        </w:rPr>
      </w:pPr>
      <w:r>
        <w:rPr>
          <w:rFonts w:eastAsia="楷体_GB2312"/>
          <w:sz w:val="32"/>
          <w:szCs w:val="32"/>
        </w:rPr>
        <w:t>1.1  编制目的</w:t>
      </w:r>
    </w:p>
    <w:p>
      <w:pPr>
        <w:spacing w:line="560" w:lineRule="exact"/>
        <w:ind w:firstLine="640" w:firstLineChars="200"/>
        <w:rPr>
          <w:rFonts w:eastAsia="楷体_GB2312"/>
          <w:sz w:val="32"/>
          <w:szCs w:val="32"/>
        </w:rPr>
      </w:pPr>
      <w:r>
        <w:rPr>
          <w:rFonts w:eastAsia="楷体_GB2312"/>
          <w:sz w:val="32"/>
          <w:szCs w:val="32"/>
        </w:rPr>
        <w:t>1.2  编制依据</w:t>
      </w:r>
    </w:p>
    <w:p>
      <w:pPr>
        <w:spacing w:line="560" w:lineRule="exact"/>
        <w:ind w:firstLine="640" w:firstLineChars="200"/>
        <w:rPr>
          <w:rFonts w:eastAsia="楷体_GB2312"/>
          <w:sz w:val="32"/>
          <w:szCs w:val="32"/>
        </w:rPr>
      </w:pPr>
      <w:r>
        <w:rPr>
          <w:rFonts w:eastAsia="楷体_GB2312"/>
          <w:sz w:val="32"/>
          <w:szCs w:val="32"/>
        </w:rPr>
        <w:t>1.3  工作原则</w:t>
      </w:r>
    </w:p>
    <w:p>
      <w:pPr>
        <w:spacing w:line="560" w:lineRule="exact"/>
        <w:ind w:firstLine="640" w:firstLineChars="200"/>
        <w:rPr>
          <w:rFonts w:eastAsia="楷体_GB2312"/>
          <w:sz w:val="32"/>
          <w:szCs w:val="32"/>
        </w:rPr>
      </w:pPr>
      <w:r>
        <w:rPr>
          <w:rFonts w:eastAsia="楷体_GB2312"/>
          <w:sz w:val="32"/>
          <w:szCs w:val="32"/>
        </w:rPr>
        <w:t>1.4  适用范围</w:t>
      </w:r>
    </w:p>
    <w:p>
      <w:pPr>
        <w:spacing w:line="560" w:lineRule="exact"/>
        <w:ind w:firstLine="640" w:firstLineChars="200"/>
        <w:rPr>
          <w:rFonts w:eastAsia="楷体_GB2312"/>
          <w:sz w:val="32"/>
          <w:szCs w:val="32"/>
        </w:rPr>
      </w:pPr>
      <w:r>
        <w:rPr>
          <w:rFonts w:eastAsia="楷体_GB2312"/>
          <w:sz w:val="32"/>
          <w:szCs w:val="32"/>
        </w:rPr>
        <w:t>1.5  事件分级</w:t>
      </w:r>
    </w:p>
    <w:p>
      <w:pPr>
        <w:spacing w:line="560" w:lineRule="exact"/>
        <w:ind w:firstLine="640" w:firstLineChars="200"/>
        <w:rPr>
          <w:rFonts w:eastAsia="黑体"/>
          <w:sz w:val="32"/>
          <w:szCs w:val="32"/>
        </w:rPr>
      </w:pPr>
      <w:r>
        <w:rPr>
          <w:rFonts w:eastAsia="黑体"/>
          <w:sz w:val="32"/>
          <w:szCs w:val="32"/>
        </w:rPr>
        <w:t>2  组织指挥体系及职责分工</w:t>
      </w:r>
    </w:p>
    <w:p>
      <w:pPr>
        <w:spacing w:line="560" w:lineRule="exact"/>
        <w:ind w:firstLine="640" w:firstLineChars="200"/>
        <w:rPr>
          <w:rFonts w:eastAsia="楷体_GB2312"/>
          <w:sz w:val="32"/>
          <w:szCs w:val="32"/>
        </w:rPr>
      </w:pPr>
      <w:r>
        <w:rPr>
          <w:rFonts w:eastAsia="楷体_GB2312"/>
          <w:sz w:val="32"/>
          <w:szCs w:val="32"/>
        </w:rPr>
        <w:t>2.1  区级组织指挥机构</w:t>
      </w:r>
    </w:p>
    <w:p>
      <w:pPr>
        <w:spacing w:line="560" w:lineRule="exact"/>
        <w:ind w:firstLine="640" w:firstLineChars="200"/>
        <w:rPr>
          <w:rFonts w:eastAsia="楷体_GB2312"/>
          <w:sz w:val="32"/>
          <w:szCs w:val="32"/>
        </w:rPr>
      </w:pPr>
      <w:r>
        <w:rPr>
          <w:rFonts w:eastAsia="楷体_GB2312"/>
          <w:sz w:val="32"/>
          <w:szCs w:val="32"/>
        </w:rPr>
        <w:t>2.2  现场指挥机构</w:t>
      </w:r>
    </w:p>
    <w:p>
      <w:pPr>
        <w:spacing w:line="560" w:lineRule="exact"/>
        <w:ind w:firstLine="640" w:firstLineChars="200"/>
        <w:rPr>
          <w:rFonts w:eastAsia="黑体"/>
          <w:sz w:val="32"/>
          <w:szCs w:val="32"/>
        </w:rPr>
      </w:pPr>
      <w:r>
        <w:rPr>
          <w:rFonts w:eastAsia="黑体"/>
          <w:sz w:val="32"/>
          <w:szCs w:val="32"/>
        </w:rPr>
        <w:t>3  监测、报告、预警</w:t>
      </w:r>
    </w:p>
    <w:p>
      <w:pPr>
        <w:spacing w:line="560" w:lineRule="exact"/>
        <w:ind w:firstLine="640" w:firstLineChars="200"/>
        <w:rPr>
          <w:rFonts w:eastAsia="楷体_GB2312"/>
          <w:sz w:val="32"/>
          <w:szCs w:val="32"/>
        </w:rPr>
      </w:pPr>
      <w:r>
        <w:rPr>
          <w:rFonts w:eastAsia="楷体_GB2312"/>
          <w:sz w:val="32"/>
          <w:szCs w:val="32"/>
        </w:rPr>
        <w:t>3.1  监测</w:t>
      </w:r>
    </w:p>
    <w:p>
      <w:pPr>
        <w:spacing w:line="560" w:lineRule="exact"/>
        <w:ind w:firstLine="640" w:firstLineChars="200"/>
        <w:rPr>
          <w:rFonts w:eastAsia="楷体_GB2312"/>
          <w:sz w:val="32"/>
          <w:szCs w:val="32"/>
        </w:rPr>
      </w:pPr>
      <w:r>
        <w:rPr>
          <w:rFonts w:eastAsia="楷体_GB2312"/>
          <w:sz w:val="32"/>
          <w:szCs w:val="32"/>
        </w:rPr>
        <w:t>3.2  报告</w:t>
      </w:r>
    </w:p>
    <w:p>
      <w:pPr>
        <w:spacing w:line="560" w:lineRule="exact"/>
        <w:ind w:firstLine="640" w:firstLineChars="200"/>
        <w:rPr>
          <w:rFonts w:eastAsia="楷体_GB2312"/>
          <w:sz w:val="32"/>
          <w:szCs w:val="32"/>
        </w:rPr>
      </w:pPr>
      <w:r>
        <w:rPr>
          <w:rFonts w:eastAsia="楷体_GB2312"/>
          <w:sz w:val="32"/>
          <w:szCs w:val="32"/>
        </w:rPr>
        <w:t>3.3  预警</w:t>
      </w:r>
    </w:p>
    <w:p>
      <w:pPr>
        <w:spacing w:line="560" w:lineRule="exact"/>
        <w:ind w:firstLine="640" w:firstLineChars="200"/>
        <w:rPr>
          <w:rFonts w:eastAsia="黑体"/>
          <w:sz w:val="32"/>
          <w:szCs w:val="32"/>
        </w:rPr>
      </w:pPr>
      <w:r>
        <w:rPr>
          <w:rFonts w:eastAsia="黑体"/>
          <w:sz w:val="32"/>
          <w:szCs w:val="32"/>
        </w:rPr>
        <w:t>4  应急响应</w:t>
      </w:r>
    </w:p>
    <w:p>
      <w:pPr>
        <w:spacing w:line="560" w:lineRule="exact"/>
        <w:ind w:firstLine="640" w:firstLineChars="200"/>
        <w:rPr>
          <w:rFonts w:eastAsia="楷体_GB2312"/>
          <w:sz w:val="32"/>
          <w:szCs w:val="32"/>
        </w:rPr>
      </w:pPr>
      <w:r>
        <w:rPr>
          <w:rFonts w:eastAsia="楷体_GB2312"/>
          <w:sz w:val="32"/>
          <w:szCs w:val="32"/>
        </w:rPr>
        <w:t>4.1  应急响应分级</w:t>
      </w:r>
    </w:p>
    <w:p>
      <w:pPr>
        <w:spacing w:line="560" w:lineRule="exact"/>
        <w:ind w:firstLine="640" w:firstLineChars="200"/>
        <w:rPr>
          <w:rFonts w:eastAsia="楷体_GB2312"/>
          <w:sz w:val="32"/>
          <w:szCs w:val="32"/>
        </w:rPr>
      </w:pPr>
      <w:r>
        <w:rPr>
          <w:rFonts w:eastAsia="楷体_GB2312"/>
          <w:sz w:val="32"/>
          <w:szCs w:val="32"/>
        </w:rPr>
        <w:t>4.2  先期处置</w:t>
      </w:r>
    </w:p>
    <w:p>
      <w:pPr>
        <w:spacing w:line="560" w:lineRule="exact"/>
        <w:ind w:firstLine="640" w:firstLineChars="200"/>
        <w:rPr>
          <w:rFonts w:eastAsia="楷体_GB2312"/>
          <w:sz w:val="32"/>
          <w:szCs w:val="32"/>
        </w:rPr>
      </w:pPr>
      <w:r>
        <w:rPr>
          <w:rFonts w:eastAsia="楷体_GB2312"/>
          <w:sz w:val="32"/>
          <w:szCs w:val="32"/>
        </w:rPr>
        <w:t>4.3  Ⅰ级（特别重大）应急响应</w:t>
      </w:r>
    </w:p>
    <w:p>
      <w:pPr>
        <w:spacing w:line="560" w:lineRule="exact"/>
        <w:ind w:firstLine="640" w:firstLineChars="200"/>
        <w:rPr>
          <w:rFonts w:eastAsia="楷体_GB2312"/>
          <w:sz w:val="32"/>
          <w:szCs w:val="32"/>
        </w:rPr>
      </w:pPr>
      <w:r>
        <w:rPr>
          <w:rFonts w:eastAsia="楷体_GB2312"/>
          <w:sz w:val="32"/>
          <w:szCs w:val="32"/>
        </w:rPr>
        <w:t>4.4  Ⅱ级（重大）应急响应</w:t>
      </w:r>
    </w:p>
    <w:p>
      <w:pPr>
        <w:spacing w:line="560" w:lineRule="exact"/>
        <w:ind w:firstLine="640" w:firstLineChars="200"/>
        <w:rPr>
          <w:rFonts w:eastAsia="楷体_GB2312"/>
          <w:sz w:val="32"/>
          <w:szCs w:val="32"/>
        </w:rPr>
      </w:pPr>
      <w:r>
        <w:rPr>
          <w:rFonts w:eastAsia="楷体_GB2312"/>
          <w:sz w:val="32"/>
          <w:szCs w:val="32"/>
        </w:rPr>
        <w:t>4.5  Ⅲ级（较大）应急响应</w:t>
      </w:r>
    </w:p>
    <w:p>
      <w:pPr>
        <w:spacing w:line="560" w:lineRule="exact"/>
        <w:ind w:firstLine="640" w:firstLineChars="200"/>
        <w:rPr>
          <w:rFonts w:eastAsia="楷体_GB2312"/>
          <w:sz w:val="32"/>
          <w:szCs w:val="32"/>
        </w:rPr>
      </w:pPr>
      <w:r>
        <w:rPr>
          <w:rFonts w:eastAsia="楷体_GB2312"/>
          <w:sz w:val="32"/>
          <w:szCs w:val="32"/>
        </w:rPr>
        <w:t>4.6  Ⅳ级（一般）应急响应</w:t>
      </w:r>
    </w:p>
    <w:p>
      <w:pPr>
        <w:spacing w:line="560" w:lineRule="exact"/>
        <w:ind w:firstLine="640" w:firstLineChars="200"/>
        <w:rPr>
          <w:rFonts w:eastAsia="楷体_GB2312"/>
          <w:sz w:val="32"/>
          <w:szCs w:val="32"/>
        </w:rPr>
      </w:pPr>
      <w:r>
        <w:rPr>
          <w:rFonts w:eastAsia="楷体_GB2312"/>
          <w:sz w:val="32"/>
          <w:szCs w:val="32"/>
        </w:rPr>
        <w:t>4.7  信息发布与舆论引导</w:t>
      </w:r>
    </w:p>
    <w:p>
      <w:pPr>
        <w:spacing w:line="580" w:lineRule="exact"/>
        <w:ind w:firstLine="640" w:firstLineChars="200"/>
        <w:rPr>
          <w:rFonts w:eastAsia="黑体"/>
          <w:sz w:val="32"/>
          <w:szCs w:val="32"/>
        </w:rPr>
      </w:pPr>
      <w:r>
        <w:rPr>
          <w:rFonts w:eastAsia="黑体"/>
          <w:sz w:val="32"/>
          <w:szCs w:val="32"/>
        </w:rPr>
        <w:t>5  善后与总结</w:t>
      </w:r>
    </w:p>
    <w:p>
      <w:pPr>
        <w:spacing w:line="580" w:lineRule="exact"/>
        <w:ind w:firstLine="640" w:firstLineChars="200"/>
        <w:rPr>
          <w:rFonts w:eastAsia="楷体_GB2312"/>
          <w:sz w:val="32"/>
          <w:szCs w:val="32"/>
        </w:rPr>
      </w:pPr>
      <w:r>
        <w:rPr>
          <w:rFonts w:eastAsia="楷体_GB2312"/>
          <w:sz w:val="32"/>
          <w:szCs w:val="32"/>
        </w:rPr>
        <w:t>5.1  后续处置</w:t>
      </w:r>
    </w:p>
    <w:p>
      <w:pPr>
        <w:spacing w:line="580" w:lineRule="exact"/>
        <w:ind w:firstLine="640" w:firstLineChars="200"/>
        <w:rPr>
          <w:rFonts w:eastAsia="楷体_GB2312"/>
          <w:sz w:val="32"/>
          <w:szCs w:val="32"/>
        </w:rPr>
      </w:pPr>
      <w:r>
        <w:rPr>
          <w:rFonts w:eastAsia="楷体_GB2312"/>
          <w:sz w:val="32"/>
          <w:szCs w:val="32"/>
        </w:rPr>
        <w:t>5.2  补偿和补助</w:t>
      </w:r>
    </w:p>
    <w:p>
      <w:pPr>
        <w:spacing w:line="580" w:lineRule="exact"/>
        <w:ind w:firstLine="640" w:firstLineChars="200"/>
        <w:rPr>
          <w:rFonts w:eastAsia="楷体_GB2312"/>
          <w:sz w:val="32"/>
          <w:szCs w:val="32"/>
        </w:rPr>
      </w:pPr>
      <w:r>
        <w:rPr>
          <w:rFonts w:eastAsia="楷体_GB2312"/>
          <w:sz w:val="32"/>
          <w:szCs w:val="32"/>
        </w:rPr>
        <w:t>5.3  总结评估</w:t>
      </w:r>
    </w:p>
    <w:p>
      <w:pPr>
        <w:spacing w:line="580" w:lineRule="exact"/>
        <w:ind w:firstLine="640" w:firstLineChars="200"/>
        <w:rPr>
          <w:rFonts w:eastAsia="黑体"/>
          <w:sz w:val="32"/>
          <w:szCs w:val="32"/>
        </w:rPr>
      </w:pPr>
      <w:r>
        <w:rPr>
          <w:rFonts w:eastAsia="黑体"/>
          <w:sz w:val="32"/>
          <w:szCs w:val="32"/>
        </w:rPr>
        <w:t>6  保障措施</w:t>
      </w:r>
    </w:p>
    <w:p>
      <w:pPr>
        <w:spacing w:line="580" w:lineRule="exact"/>
        <w:ind w:firstLine="640" w:firstLineChars="200"/>
        <w:rPr>
          <w:rFonts w:eastAsia="楷体_GB2312"/>
          <w:sz w:val="32"/>
          <w:szCs w:val="32"/>
        </w:rPr>
      </w:pPr>
      <w:r>
        <w:rPr>
          <w:rFonts w:eastAsia="楷体_GB2312"/>
          <w:sz w:val="32"/>
          <w:szCs w:val="32"/>
        </w:rPr>
        <w:t>6.1  组织保障</w:t>
      </w:r>
    </w:p>
    <w:p>
      <w:pPr>
        <w:spacing w:line="580" w:lineRule="exact"/>
        <w:ind w:firstLine="640" w:firstLineChars="200"/>
        <w:rPr>
          <w:rFonts w:eastAsia="楷体_GB2312"/>
          <w:sz w:val="32"/>
          <w:szCs w:val="32"/>
        </w:rPr>
      </w:pPr>
      <w:r>
        <w:rPr>
          <w:rFonts w:eastAsia="楷体_GB2312"/>
          <w:sz w:val="32"/>
          <w:szCs w:val="32"/>
        </w:rPr>
        <w:t>6.2  资金和物资保障</w:t>
      </w:r>
    </w:p>
    <w:p>
      <w:pPr>
        <w:spacing w:line="580" w:lineRule="exact"/>
        <w:ind w:firstLine="640" w:firstLineChars="200"/>
        <w:rPr>
          <w:rFonts w:eastAsia="楷体_GB2312"/>
          <w:sz w:val="32"/>
          <w:szCs w:val="32"/>
        </w:rPr>
      </w:pPr>
      <w:r>
        <w:rPr>
          <w:rFonts w:eastAsia="楷体_GB2312"/>
          <w:sz w:val="32"/>
          <w:szCs w:val="32"/>
        </w:rPr>
        <w:t>6.3  医疗救治</w:t>
      </w:r>
    </w:p>
    <w:p>
      <w:pPr>
        <w:spacing w:line="580" w:lineRule="exact"/>
        <w:ind w:firstLine="640" w:firstLineChars="200"/>
        <w:rPr>
          <w:rFonts w:eastAsia="楷体_GB2312"/>
          <w:sz w:val="32"/>
          <w:szCs w:val="32"/>
        </w:rPr>
      </w:pPr>
      <w:r>
        <w:rPr>
          <w:rFonts w:eastAsia="楷体_GB2312"/>
          <w:sz w:val="32"/>
          <w:szCs w:val="32"/>
        </w:rPr>
        <w:t>6.4  信息和技术保障</w:t>
      </w:r>
    </w:p>
    <w:p>
      <w:pPr>
        <w:spacing w:line="580" w:lineRule="exact"/>
        <w:ind w:firstLine="640" w:firstLineChars="200"/>
        <w:rPr>
          <w:rFonts w:eastAsia="仿宋_GB2312"/>
          <w:sz w:val="32"/>
          <w:szCs w:val="32"/>
        </w:rPr>
      </w:pPr>
      <w:r>
        <w:rPr>
          <w:rFonts w:eastAsia="楷体_GB2312"/>
          <w:sz w:val="32"/>
          <w:szCs w:val="32"/>
        </w:rPr>
        <w:t>6.5  培训演练和社会动员</w:t>
      </w:r>
    </w:p>
    <w:p>
      <w:pPr>
        <w:spacing w:line="580" w:lineRule="exact"/>
        <w:ind w:firstLine="640" w:firstLineChars="200"/>
        <w:rPr>
          <w:rFonts w:eastAsia="黑体"/>
          <w:sz w:val="32"/>
          <w:szCs w:val="32"/>
        </w:rPr>
      </w:pPr>
      <w:r>
        <w:rPr>
          <w:rFonts w:eastAsia="黑体"/>
          <w:sz w:val="32"/>
          <w:szCs w:val="32"/>
        </w:rPr>
        <w:t>7  附则</w:t>
      </w:r>
    </w:p>
    <w:p>
      <w:pPr>
        <w:spacing w:line="580" w:lineRule="exact"/>
        <w:ind w:firstLine="640" w:firstLineChars="200"/>
        <w:rPr>
          <w:rFonts w:eastAsia="楷体_GB2312"/>
          <w:sz w:val="32"/>
          <w:szCs w:val="32"/>
        </w:rPr>
      </w:pPr>
      <w:r>
        <w:rPr>
          <w:rFonts w:eastAsia="楷体_GB2312"/>
          <w:sz w:val="32"/>
          <w:szCs w:val="32"/>
        </w:rPr>
        <w:t>7.1  预案管理</w:t>
      </w:r>
    </w:p>
    <w:p>
      <w:pPr>
        <w:spacing w:line="580" w:lineRule="exact"/>
        <w:ind w:firstLine="640" w:firstLineChars="200"/>
        <w:rPr>
          <w:rFonts w:eastAsia="楷体_GB2312"/>
          <w:sz w:val="32"/>
          <w:szCs w:val="32"/>
        </w:rPr>
      </w:pPr>
      <w:r>
        <w:rPr>
          <w:rFonts w:eastAsia="楷体_GB2312"/>
          <w:sz w:val="32"/>
          <w:szCs w:val="32"/>
        </w:rPr>
        <w:t>7.2  预案解释</w:t>
      </w:r>
    </w:p>
    <w:p>
      <w:pPr>
        <w:spacing w:line="580" w:lineRule="exact"/>
        <w:ind w:firstLine="640" w:firstLineChars="200"/>
        <w:rPr>
          <w:rFonts w:eastAsia="楷体_GB2312"/>
          <w:sz w:val="32"/>
          <w:szCs w:val="32"/>
        </w:rPr>
      </w:pPr>
      <w:r>
        <w:rPr>
          <w:rFonts w:eastAsia="楷体_GB2312"/>
          <w:sz w:val="32"/>
          <w:szCs w:val="32"/>
        </w:rPr>
        <w:t>7.3  预案实施</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黑体"/>
          <w:sz w:val="32"/>
          <w:szCs w:val="32"/>
        </w:rPr>
      </w:pPr>
      <w:r>
        <w:rPr>
          <w:rFonts w:eastAsia="黑体"/>
          <w:sz w:val="32"/>
          <w:szCs w:val="32"/>
        </w:rPr>
        <w:t>1  总则</w:t>
      </w:r>
    </w:p>
    <w:p>
      <w:pPr>
        <w:spacing w:line="580" w:lineRule="exact"/>
        <w:ind w:firstLine="640" w:firstLineChars="200"/>
        <w:rPr>
          <w:rFonts w:eastAsia="楷体_GB2312"/>
          <w:sz w:val="32"/>
          <w:szCs w:val="32"/>
        </w:rPr>
      </w:pPr>
      <w:r>
        <w:rPr>
          <w:rFonts w:eastAsia="楷体_GB2312"/>
          <w:sz w:val="32"/>
          <w:szCs w:val="32"/>
        </w:rPr>
        <w:t>1.1  编制目的</w:t>
      </w:r>
    </w:p>
    <w:p>
      <w:pPr>
        <w:spacing w:line="580" w:lineRule="exact"/>
        <w:ind w:firstLine="640" w:firstLineChars="200"/>
        <w:rPr>
          <w:rFonts w:eastAsia="仿宋_GB2312"/>
          <w:sz w:val="32"/>
          <w:szCs w:val="32"/>
        </w:rPr>
      </w:pPr>
      <w:r>
        <w:rPr>
          <w:rFonts w:eastAsia="仿宋_GB2312"/>
          <w:sz w:val="32"/>
          <w:szCs w:val="32"/>
        </w:rPr>
        <w:t>指导和规范药品（含医疗器械，下同）安全事件的应急处置工作，有效预防、及时控制各类药品安全事件，最大程度地减少药品安全事件对公众健康和生命安全造成的危害。</w:t>
      </w:r>
    </w:p>
    <w:p>
      <w:pPr>
        <w:spacing w:line="580" w:lineRule="exact"/>
        <w:ind w:firstLine="640" w:firstLineChars="200"/>
        <w:rPr>
          <w:rFonts w:eastAsia="楷体_GB2312"/>
          <w:sz w:val="32"/>
          <w:szCs w:val="32"/>
        </w:rPr>
      </w:pPr>
      <w:r>
        <w:rPr>
          <w:rFonts w:eastAsia="楷体_GB2312"/>
          <w:sz w:val="32"/>
          <w:szCs w:val="32"/>
        </w:rPr>
        <w:t>1.2  编制依据</w:t>
      </w:r>
    </w:p>
    <w:p>
      <w:pPr>
        <w:spacing w:line="580" w:lineRule="exact"/>
        <w:ind w:firstLine="640" w:firstLineChars="200"/>
        <w:rPr>
          <w:rFonts w:eastAsia="仿宋_GB2312"/>
          <w:sz w:val="32"/>
          <w:szCs w:val="32"/>
        </w:rPr>
      </w:pPr>
      <w:r>
        <w:rPr>
          <w:rFonts w:eastAsia="仿宋_GB2312"/>
          <w:sz w:val="32"/>
          <w:szCs w:val="32"/>
        </w:rPr>
        <w:t>依据《中华人民共和国突发事件应对法》《中华人民共和国药品管理法》《突发事件应急预案管理办法》《麻醉药品和精神药品管理条例》《医疗器械监督管理条例》《药品不良反应报告和监测管理办法》《药品召回管理办法》《医疗器械召回管理办法（试行）》《医疗器械不良事件监测和再评价管理办法》《山东省突发事件应对条例》《山东省药品安全事件应急预案》《淄博市突发事件总体应急预案》和《周村区突发事件总体应急预案》等法律法规规章和规范性文件等要求，制定本预案。</w:t>
      </w:r>
    </w:p>
    <w:p>
      <w:pPr>
        <w:spacing w:line="580" w:lineRule="exact"/>
        <w:ind w:firstLine="640" w:firstLineChars="200"/>
        <w:rPr>
          <w:rFonts w:eastAsia="楷体_GB2312"/>
          <w:sz w:val="32"/>
          <w:szCs w:val="32"/>
        </w:rPr>
      </w:pPr>
      <w:r>
        <w:rPr>
          <w:rFonts w:eastAsia="楷体_GB2312"/>
          <w:sz w:val="32"/>
          <w:szCs w:val="32"/>
        </w:rPr>
        <w:t>1.3  工作原则</w:t>
      </w:r>
    </w:p>
    <w:p>
      <w:pPr>
        <w:spacing w:line="580" w:lineRule="exact"/>
        <w:ind w:firstLine="640" w:firstLineChars="200"/>
        <w:rPr>
          <w:rFonts w:eastAsia="仿宋_GB2312"/>
          <w:sz w:val="32"/>
          <w:szCs w:val="32"/>
        </w:rPr>
      </w:pPr>
      <w:r>
        <w:rPr>
          <w:rFonts w:eastAsia="仿宋_GB2312"/>
          <w:sz w:val="32"/>
          <w:szCs w:val="32"/>
        </w:rPr>
        <w:t>按照统一领导、分级负责，预防为主、防治结合，快速反应、协同应对，依法规范、科学处置的原则，开展药品安全事件应急处置工作。</w:t>
      </w:r>
    </w:p>
    <w:p>
      <w:pPr>
        <w:spacing w:line="580" w:lineRule="exact"/>
        <w:ind w:firstLine="640" w:firstLineChars="200"/>
        <w:rPr>
          <w:rFonts w:eastAsia="楷体_GB2312"/>
          <w:sz w:val="32"/>
          <w:szCs w:val="32"/>
        </w:rPr>
      </w:pPr>
      <w:r>
        <w:rPr>
          <w:rFonts w:eastAsia="楷体_GB2312"/>
          <w:sz w:val="32"/>
          <w:szCs w:val="32"/>
        </w:rPr>
        <w:t>1.4  适用范围</w:t>
      </w:r>
    </w:p>
    <w:p>
      <w:pPr>
        <w:spacing w:line="580" w:lineRule="exact"/>
        <w:ind w:firstLine="640" w:firstLineChars="200"/>
        <w:rPr>
          <w:rFonts w:eastAsia="仿宋_GB2312"/>
          <w:sz w:val="32"/>
          <w:szCs w:val="32"/>
        </w:rPr>
      </w:pPr>
      <w:r>
        <w:rPr>
          <w:rFonts w:eastAsia="仿宋_GB2312"/>
          <w:sz w:val="32"/>
          <w:szCs w:val="32"/>
        </w:rPr>
        <w:t>本预案适用于我区境内发生或涉及我区药企的药品安全事件的应急处置工作。</w:t>
      </w:r>
    </w:p>
    <w:p>
      <w:pPr>
        <w:spacing w:line="580" w:lineRule="exact"/>
        <w:ind w:firstLine="640" w:firstLineChars="200"/>
        <w:rPr>
          <w:rFonts w:eastAsia="楷体_GB2312"/>
          <w:sz w:val="32"/>
          <w:szCs w:val="32"/>
        </w:rPr>
      </w:pPr>
      <w:r>
        <w:rPr>
          <w:rFonts w:eastAsia="楷体_GB2312"/>
          <w:sz w:val="32"/>
          <w:szCs w:val="32"/>
        </w:rPr>
        <w:t>1.5  事件分级</w:t>
      </w:r>
    </w:p>
    <w:p>
      <w:pPr>
        <w:spacing w:line="580" w:lineRule="exact"/>
        <w:ind w:firstLine="640" w:firstLineChars="200"/>
        <w:rPr>
          <w:rFonts w:eastAsia="仿宋_GB2312"/>
          <w:sz w:val="32"/>
          <w:szCs w:val="32"/>
        </w:rPr>
      </w:pPr>
      <w:r>
        <w:rPr>
          <w:rFonts w:eastAsia="仿宋_GB2312"/>
          <w:sz w:val="32"/>
          <w:szCs w:val="32"/>
        </w:rPr>
        <w:t>本预案所称药品安全事件，是指突然发生，对社会公众健康造成或可能造成严重损害，需要采取应急处置措施予以应对的药品群体不良事件、重大药品质量事件，以及其他严重影响公众健康的药品安全事件。</w:t>
      </w:r>
      <w:r>
        <w:rPr>
          <w:rFonts w:eastAsia="仿宋_GB2312"/>
          <w:sz w:val="32"/>
          <w:szCs w:val="32"/>
        </w:rPr>
        <w:tab/>
      </w:r>
    </w:p>
    <w:p>
      <w:pPr>
        <w:spacing w:line="580" w:lineRule="exact"/>
        <w:ind w:firstLine="640" w:firstLineChars="200"/>
        <w:rPr>
          <w:rFonts w:eastAsia="仿宋_GB2312"/>
          <w:sz w:val="32"/>
          <w:szCs w:val="32"/>
        </w:rPr>
      </w:pPr>
      <w:r>
        <w:rPr>
          <w:rFonts w:eastAsia="仿宋_GB2312"/>
          <w:sz w:val="32"/>
          <w:szCs w:val="32"/>
        </w:rPr>
        <w:t>根据事件的危害程度和影响范围等因素，药品安全事件分为四级（分级标准见附件1）：Ⅰ级（特别重大）、Ⅱ级（重大）、Ⅲ级（较大）和Ⅳ级（一般）。</w:t>
      </w:r>
    </w:p>
    <w:p>
      <w:pPr>
        <w:spacing w:line="580" w:lineRule="exact"/>
        <w:ind w:firstLine="640" w:firstLineChars="200"/>
        <w:rPr>
          <w:rFonts w:eastAsia="黑体"/>
          <w:sz w:val="32"/>
          <w:szCs w:val="32"/>
        </w:rPr>
      </w:pPr>
      <w:r>
        <w:rPr>
          <w:rFonts w:eastAsia="黑体"/>
          <w:sz w:val="32"/>
          <w:szCs w:val="32"/>
        </w:rPr>
        <w:t>2  组织指挥体系及职责分工</w:t>
      </w:r>
    </w:p>
    <w:p>
      <w:pPr>
        <w:spacing w:line="580" w:lineRule="exact"/>
        <w:ind w:firstLine="640" w:firstLineChars="200"/>
        <w:rPr>
          <w:rFonts w:eastAsia="楷体_GB2312"/>
          <w:sz w:val="32"/>
          <w:szCs w:val="32"/>
        </w:rPr>
      </w:pPr>
      <w:r>
        <w:rPr>
          <w:rFonts w:eastAsia="楷体_GB2312"/>
          <w:sz w:val="32"/>
          <w:szCs w:val="32"/>
        </w:rPr>
        <w:t>2.1  区级应急指挥机构</w:t>
      </w:r>
    </w:p>
    <w:p>
      <w:pPr>
        <w:spacing w:line="580" w:lineRule="exact"/>
        <w:ind w:firstLine="640" w:firstLineChars="200"/>
        <w:rPr>
          <w:rFonts w:eastAsia="仿宋_GB2312"/>
          <w:sz w:val="32"/>
          <w:szCs w:val="32"/>
        </w:rPr>
      </w:pPr>
      <w:r>
        <w:rPr>
          <w:rFonts w:eastAsia="仿宋_GB2312"/>
          <w:sz w:val="32"/>
          <w:szCs w:val="32"/>
        </w:rPr>
        <w:t>区政府负责全区较大药品安全事件应急处置。根据实际需要，可依法设立较大药品安全事件应急处置指挥部（以下简称区指挥部），由区政府分管副区长担任指挥长，区市场监管局主要负责同志任副指挥长，负责本行政区域内Ⅳ级（一般）药品安全事件的应急处置，Ⅰ级（特别重大）、Ⅱ级（重大）、Ⅲ级（较大）先期处置等工作。必要时，派出工作组指导相关工作。设立区指挥部办公室，办公室设在区市场监管局，办公室成员由区市场监管局主要负责同志及有关部门分管负责同志担任。</w:t>
      </w:r>
    </w:p>
    <w:p>
      <w:pPr>
        <w:spacing w:line="580" w:lineRule="exact"/>
        <w:ind w:firstLine="640" w:firstLineChars="200"/>
        <w:rPr>
          <w:rFonts w:eastAsia="仿宋_GB2312"/>
          <w:sz w:val="32"/>
          <w:szCs w:val="32"/>
        </w:rPr>
      </w:pPr>
      <w:r>
        <w:rPr>
          <w:rFonts w:eastAsia="楷体_GB2312"/>
          <w:sz w:val="32"/>
          <w:szCs w:val="32"/>
        </w:rPr>
        <w:t>2</w:t>
      </w:r>
      <w:r>
        <w:rPr>
          <w:rFonts w:eastAsia="仿宋_GB2312"/>
          <w:sz w:val="32"/>
          <w:szCs w:val="32"/>
        </w:rPr>
        <w:t>.1.1  指挥部办公室职责如下：</w:t>
      </w:r>
    </w:p>
    <w:p>
      <w:pPr>
        <w:spacing w:line="580" w:lineRule="exact"/>
        <w:ind w:firstLine="640" w:firstLineChars="200"/>
        <w:rPr>
          <w:rFonts w:eastAsia="仿宋_GB2312"/>
          <w:sz w:val="32"/>
          <w:szCs w:val="32"/>
        </w:rPr>
      </w:pPr>
      <w:r>
        <w:rPr>
          <w:rFonts w:eastAsia="仿宋_GB2312"/>
          <w:sz w:val="32"/>
          <w:szCs w:val="32"/>
        </w:rPr>
        <w:t>（1）负责贯彻落实区指挥部的各项部署，组织实施应急处置工作。</w:t>
      </w:r>
    </w:p>
    <w:p>
      <w:pPr>
        <w:spacing w:line="580" w:lineRule="exact"/>
        <w:ind w:firstLine="640" w:firstLineChars="200"/>
        <w:rPr>
          <w:rFonts w:eastAsia="仿宋_GB2312"/>
          <w:sz w:val="32"/>
          <w:szCs w:val="32"/>
        </w:rPr>
      </w:pPr>
      <w:r>
        <w:rPr>
          <w:rFonts w:eastAsia="仿宋_GB2312"/>
          <w:sz w:val="32"/>
          <w:szCs w:val="32"/>
        </w:rPr>
        <w:t>（2）检查督促相关地区和部门做好各项应急处置工作。</w:t>
      </w:r>
    </w:p>
    <w:p>
      <w:pPr>
        <w:spacing w:line="580" w:lineRule="exact"/>
        <w:ind w:firstLine="640" w:firstLineChars="200"/>
        <w:rPr>
          <w:rFonts w:eastAsia="仿宋_GB2312"/>
          <w:sz w:val="32"/>
          <w:szCs w:val="32"/>
        </w:rPr>
      </w:pPr>
      <w:r>
        <w:rPr>
          <w:rFonts w:eastAsia="仿宋_GB2312"/>
          <w:sz w:val="32"/>
          <w:szCs w:val="32"/>
        </w:rPr>
        <w:t>（3）向区指挥部及时报告有关情况，与有关部门、单位交流信息。</w:t>
      </w:r>
    </w:p>
    <w:p>
      <w:pPr>
        <w:spacing w:line="580" w:lineRule="exact"/>
        <w:ind w:firstLine="640" w:firstLineChars="200"/>
        <w:rPr>
          <w:rFonts w:eastAsia="仿宋_GB2312"/>
          <w:sz w:val="32"/>
          <w:szCs w:val="32"/>
        </w:rPr>
      </w:pPr>
      <w:r>
        <w:rPr>
          <w:rFonts w:eastAsia="仿宋_GB2312"/>
          <w:sz w:val="32"/>
          <w:szCs w:val="32"/>
        </w:rPr>
        <w:t>（4）建立会商、发文、信息发布和督查等制度，协调宣传报道、信息发布和舆情处置工作。</w:t>
      </w:r>
    </w:p>
    <w:p>
      <w:pPr>
        <w:spacing w:line="580" w:lineRule="exact"/>
        <w:ind w:firstLine="640" w:firstLineChars="200"/>
        <w:rPr>
          <w:rFonts w:eastAsia="仿宋_GB2312"/>
          <w:sz w:val="32"/>
          <w:szCs w:val="32"/>
        </w:rPr>
      </w:pPr>
      <w:r>
        <w:rPr>
          <w:rFonts w:eastAsia="仿宋_GB2312"/>
          <w:sz w:val="32"/>
          <w:szCs w:val="32"/>
        </w:rPr>
        <w:t>（5）组织协调人员培训、物资储备、后勤保障、社会动员等相关工作。</w:t>
      </w:r>
    </w:p>
    <w:p>
      <w:pPr>
        <w:spacing w:line="580" w:lineRule="exact"/>
        <w:ind w:firstLine="640" w:firstLineChars="200"/>
        <w:rPr>
          <w:rFonts w:eastAsia="仿宋_GB2312"/>
          <w:sz w:val="32"/>
          <w:szCs w:val="32"/>
        </w:rPr>
      </w:pPr>
      <w:r>
        <w:rPr>
          <w:rFonts w:eastAsia="仿宋_GB2312"/>
          <w:sz w:val="32"/>
          <w:szCs w:val="32"/>
        </w:rPr>
        <w:t>（6）完成区指挥部安排的其他任务。</w:t>
      </w:r>
    </w:p>
    <w:p>
      <w:pPr>
        <w:spacing w:line="580" w:lineRule="exact"/>
        <w:ind w:firstLine="640" w:firstLineChars="200"/>
        <w:rPr>
          <w:rFonts w:eastAsia="楷体_GB2312"/>
          <w:sz w:val="32"/>
          <w:szCs w:val="32"/>
        </w:rPr>
      </w:pPr>
      <w:r>
        <w:rPr>
          <w:rFonts w:eastAsia="楷体_GB2312"/>
          <w:sz w:val="32"/>
          <w:szCs w:val="32"/>
        </w:rPr>
        <w:t>2.2  现场指挥机构</w:t>
      </w:r>
    </w:p>
    <w:p>
      <w:pPr>
        <w:spacing w:line="580" w:lineRule="exact"/>
        <w:ind w:firstLine="640" w:firstLineChars="200"/>
        <w:rPr>
          <w:rFonts w:eastAsia="仿宋_GB2312"/>
          <w:sz w:val="32"/>
          <w:szCs w:val="32"/>
        </w:rPr>
      </w:pPr>
      <w:r>
        <w:rPr>
          <w:rFonts w:eastAsia="仿宋_GB2312"/>
          <w:sz w:val="32"/>
          <w:szCs w:val="32"/>
        </w:rPr>
        <w:t>现场应急指挥机构负责现场的应急处置工作。各工作组组成及职责分工如下：</w:t>
      </w:r>
    </w:p>
    <w:p>
      <w:pPr>
        <w:spacing w:line="580" w:lineRule="exact"/>
        <w:ind w:firstLine="640" w:firstLineChars="200"/>
        <w:rPr>
          <w:rFonts w:eastAsia="仿宋_GB2312"/>
          <w:sz w:val="32"/>
          <w:szCs w:val="32"/>
        </w:rPr>
      </w:pPr>
      <w:r>
        <w:rPr>
          <w:rFonts w:eastAsia="仿宋_GB2312"/>
          <w:sz w:val="32"/>
          <w:szCs w:val="32"/>
        </w:rPr>
        <w:t>（1）综合协调组：由区市场监管局牵头，区发展改革局、区教育和体育局、区科技局、区工业和信息化局、区财政局、区人力资源社会保障局、区交通运输局、区商务局、区卫生健康局、区应急局、区大数据局等参加，负责应急工作的综合协调、信息汇总报送，以及应急处置会议组织和相关公文处理等工作；组织做好应急救援物资的紧急生产、储备调拨和紧急配送工作；其他应急保障工作。</w:t>
      </w:r>
    </w:p>
    <w:p>
      <w:pPr>
        <w:spacing w:line="580" w:lineRule="exact"/>
        <w:ind w:firstLine="640" w:firstLineChars="200"/>
        <w:rPr>
          <w:rFonts w:eastAsia="仿宋_GB2312"/>
          <w:sz w:val="32"/>
          <w:szCs w:val="32"/>
        </w:rPr>
      </w:pPr>
      <w:r>
        <w:rPr>
          <w:rFonts w:eastAsia="仿宋_GB2312"/>
          <w:sz w:val="32"/>
          <w:szCs w:val="32"/>
        </w:rPr>
        <w:t>（2）医疗救治组：由区卫生健康局牵头，区市场监管局参加。负责组织做好紧急医疗救治工作，提出保护公众健康的措施建议。</w:t>
      </w:r>
    </w:p>
    <w:p>
      <w:pPr>
        <w:spacing w:line="580" w:lineRule="exact"/>
        <w:ind w:firstLine="640" w:firstLineChars="200"/>
        <w:rPr>
          <w:rFonts w:eastAsia="仿宋_GB2312"/>
          <w:sz w:val="32"/>
          <w:szCs w:val="32"/>
        </w:rPr>
      </w:pPr>
      <w:r>
        <w:rPr>
          <w:rFonts w:eastAsia="仿宋_GB2312"/>
          <w:sz w:val="32"/>
          <w:szCs w:val="32"/>
        </w:rPr>
        <w:t>（3）事件调查组：由区市场监管局牵头，区公安分局、区农业农村局、区卫生健康局等参加。负责事件原因调查，提出调查结论和处理建议。</w:t>
      </w:r>
    </w:p>
    <w:p>
      <w:pPr>
        <w:spacing w:line="580" w:lineRule="exact"/>
        <w:ind w:firstLine="640" w:firstLineChars="200"/>
        <w:rPr>
          <w:rFonts w:eastAsia="仿宋_GB2312"/>
          <w:sz w:val="32"/>
          <w:szCs w:val="32"/>
        </w:rPr>
      </w:pPr>
      <w:r>
        <w:rPr>
          <w:rFonts w:eastAsia="仿宋_GB2312"/>
          <w:sz w:val="32"/>
          <w:szCs w:val="32"/>
        </w:rPr>
        <w:t>（4）危害控制组：由区市场监管局牵头，区生态环境局、区农业农村局、区卫生健康局、区应急局等参加。负责对相关产品采取紧急控制措施，并依法作出行政处理决定；做好相关危害控制工作。</w:t>
      </w:r>
    </w:p>
    <w:p>
      <w:pPr>
        <w:spacing w:line="580" w:lineRule="exact"/>
        <w:ind w:firstLine="640" w:firstLineChars="200"/>
        <w:rPr>
          <w:rFonts w:eastAsia="仿宋_GB2312"/>
          <w:sz w:val="32"/>
          <w:szCs w:val="32"/>
        </w:rPr>
      </w:pPr>
      <w:r>
        <w:rPr>
          <w:rFonts w:eastAsia="仿宋_GB2312"/>
          <w:sz w:val="32"/>
          <w:szCs w:val="32"/>
        </w:rPr>
        <w:t>（5）新闻宣传组：由区委宣传部、区市场监管局牵头，区委网信办、区卫生健康局、区融媒体中心等参加。负责指导开展事件进展、应急处置工作情况等权威信息发布，加强新闻宣传报道；采取多种形式，做好药品安全知识科普；收集相关舆情信息，及时澄清不实信息，开展舆情处置和舆论引导。</w:t>
      </w:r>
    </w:p>
    <w:p>
      <w:pPr>
        <w:spacing w:line="580" w:lineRule="exact"/>
        <w:ind w:firstLine="640" w:firstLineChars="200"/>
        <w:rPr>
          <w:rFonts w:eastAsia="仿宋_GB2312"/>
          <w:sz w:val="32"/>
          <w:szCs w:val="32"/>
        </w:rPr>
      </w:pPr>
      <w:r>
        <w:rPr>
          <w:rFonts w:eastAsia="仿宋_GB2312"/>
          <w:sz w:val="32"/>
          <w:szCs w:val="32"/>
        </w:rPr>
        <w:t>（6）专家技术组：由区市场监管局、区卫生健康局牵头。负责药品安全事件应急处置工作的咨询指导和技术支撑，组织药品安全、公共卫生以及舆情领域相关专家参与事件调查处置，向区指挥部提出处置意见和建议，为应急决策提供参考。</w:t>
      </w:r>
    </w:p>
    <w:p>
      <w:pPr>
        <w:spacing w:line="580" w:lineRule="exact"/>
        <w:ind w:firstLine="640" w:firstLineChars="200"/>
        <w:rPr>
          <w:rFonts w:eastAsia="仿宋_GB2312"/>
          <w:sz w:val="32"/>
          <w:szCs w:val="32"/>
        </w:rPr>
      </w:pPr>
      <w:r>
        <w:rPr>
          <w:rFonts w:eastAsia="仿宋_GB2312"/>
          <w:sz w:val="32"/>
          <w:szCs w:val="32"/>
        </w:rPr>
        <w:t>（7）社会稳定组：由区公安分局牵头，区发展改革局、区司法局、区卫生健康局、区市场监管局、区信访局等参加。负责加强社会治安管理，严厉打击借机传播谣言制造社会恐慌、哄抢物资等违法犯罪行为；加强应急物资存放点等重点地区治安管控；做好相关矛盾纠纷化解和法律服务工作，防止出现群体性事件，维护社会稳定；打击囤积居奇、哄抬物价行为。</w:t>
      </w:r>
    </w:p>
    <w:p>
      <w:pPr>
        <w:spacing w:line="580" w:lineRule="exact"/>
        <w:ind w:firstLine="640" w:firstLineChars="200"/>
        <w:rPr>
          <w:rFonts w:eastAsia="仿宋_GB2312"/>
          <w:sz w:val="32"/>
          <w:szCs w:val="32"/>
        </w:rPr>
      </w:pPr>
      <w:r>
        <w:rPr>
          <w:rFonts w:eastAsia="仿宋_GB2312"/>
          <w:sz w:val="32"/>
          <w:szCs w:val="32"/>
        </w:rPr>
        <w:t>工作组设置、组成和职责可根据工作需要适时作出调整，必要时可吸收事件发生地镇政府、街道办事处及部门有关人员参加。</w:t>
      </w:r>
    </w:p>
    <w:p>
      <w:pPr>
        <w:spacing w:line="580" w:lineRule="exact"/>
        <w:ind w:firstLine="640" w:firstLineChars="200"/>
        <w:rPr>
          <w:rFonts w:eastAsia="黑体"/>
          <w:sz w:val="32"/>
          <w:szCs w:val="32"/>
        </w:rPr>
      </w:pPr>
      <w:r>
        <w:rPr>
          <w:rFonts w:eastAsia="黑体"/>
          <w:sz w:val="32"/>
          <w:szCs w:val="32"/>
        </w:rPr>
        <w:t>3  监测、报告、预警</w:t>
      </w:r>
    </w:p>
    <w:p>
      <w:pPr>
        <w:spacing w:line="580" w:lineRule="exact"/>
        <w:ind w:firstLine="640" w:firstLineChars="200"/>
        <w:rPr>
          <w:rFonts w:eastAsia="仿宋_GB2312"/>
          <w:sz w:val="32"/>
          <w:szCs w:val="32"/>
        </w:rPr>
      </w:pPr>
      <w:r>
        <w:rPr>
          <w:rFonts w:eastAsia="仿宋_GB2312"/>
          <w:sz w:val="32"/>
          <w:szCs w:val="32"/>
        </w:rPr>
        <w:t>区市场监管部门建立健全药品安全事件监测、预警与报告制度，积极开展风险分析和评估，做到早发现、早报告、早预警、早处置。</w:t>
      </w:r>
    </w:p>
    <w:p>
      <w:pPr>
        <w:spacing w:line="580" w:lineRule="exact"/>
        <w:ind w:firstLine="640" w:firstLineChars="200"/>
        <w:rPr>
          <w:rFonts w:eastAsia="楷体_GB2312"/>
          <w:sz w:val="32"/>
          <w:szCs w:val="32"/>
        </w:rPr>
      </w:pPr>
      <w:r>
        <w:rPr>
          <w:rFonts w:eastAsia="楷体_GB2312"/>
          <w:sz w:val="32"/>
          <w:szCs w:val="32"/>
        </w:rPr>
        <w:t>3.1  监测</w:t>
      </w:r>
    </w:p>
    <w:p>
      <w:pPr>
        <w:spacing w:line="580" w:lineRule="exact"/>
        <w:ind w:firstLine="640" w:firstLineChars="200"/>
        <w:rPr>
          <w:rFonts w:eastAsia="仿宋_GB2312"/>
          <w:sz w:val="32"/>
          <w:szCs w:val="32"/>
        </w:rPr>
      </w:pPr>
      <w:r>
        <w:rPr>
          <w:rFonts w:eastAsia="仿宋_GB2312"/>
          <w:sz w:val="32"/>
          <w:szCs w:val="32"/>
        </w:rPr>
        <w:t>利用国家药品不良反应（含医疗器械不良事件、药物滥用，下同）监测系统等手段，加强对重点品种、重点环节，尤其是高风险品种质量安全的监测。</w:t>
      </w:r>
    </w:p>
    <w:p>
      <w:pPr>
        <w:spacing w:line="580" w:lineRule="exact"/>
        <w:ind w:firstLine="640" w:firstLineChars="200"/>
        <w:rPr>
          <w:rFonts w:eastAsia="仿宋_GB2312"/>
          <w:color w:val="FF0000"/>
          <w:sz w:val="32"/>
          <w:szCs w:val="32"/>
        </w:rPr>
      </w:pPr>
      <w:r>
        <w:rPr>
          <w:rFonts w:eastAsia="仿宋_GB2312"/>
          <w:sz w:val="32"/>
          <w:szCs w:val="32"/>
        </w:rPr>
        <w:t>区市场监管部门负责本行政区域内的药品安全监测工作，通过日常监管系统、检验检测系统、药品不良反应监测系统、投诉举报系统以及舆情监测等，搜集汇总药品安全信息和事件信息，监测潜在的药品安全事件信息。</w:t>
      </w:r>
    </w:p>
    <w:p>
      <w:pPr>
        <w:spacing w:line="580" w:lineRule="exact"/>
        <w:ind w:firstLine="640" w:firstLineChars="200"/>
        <w:rPr>
          <w:rFonts w:eastAsia="仿宋_GB2312"/>
          <w:sz w:val="32"/>
          <w:szCs w:val="32"/>
        </w:rPr>
      </w:pPr>
      <w:r>
        <w:rPr>
          <w:rFonts w:eastAsia="仿宋_GB2312"/>
          <w:sz w:val="32"/>
          <w:szCs w:val="32"/>
        </w:rPr>
        <w:t>根据需要，各类药品安全事件的监测信息在相关部门之间实现共享。</w:t>
      </w:r>
    </w:p>
    <w:p>
      <w:pPr>
        <w:spacing w:line="580" w:lineRule="exact"/>
        <w:ind w:firstLine="640" w:firstLineChars="200"/>
        <w:rPr>
          <w:rFonts w:eastAsia="楷体_GB2312"/>
          <w:sz w:val="32"/>
          <w:szCs w:val="32"/>
        </w:rPr>
      </w:pPr>
      <w:r>
        <w:rPr>
          <w:rFonts w:eastAsia="楷体_GB2312"/>
          <w:sz w:val="32"/>
          <w:szCs w:val="32"/>
        </w:rPr>
        <w:t>3.2  报告</w:t>
      </w:r>
    </w:p>
    <w:p>
      <w:pPr>
        <w:spacing w:line="580" w:lineRule="exact"/>
        <w:ind w:firstLine="640" w:firstLineChars="200"/>
        <w:rPr>
          <w:rFonts w:eastAsia="仿宋_GB2312"/>
          <w:sz w:val="32"/>
          <w:szCs w:val="32"/>
        </w:rPr>
      </w:pPr>
      <w:r>
        <w:rPr>
          <w:rFonts w:eastAsia="仿宋_GB2312"/>
          <w:sz w:val="32"/>
          <w:szCs w:val="32"/>
        </w:rPr>
        <w:t>3.2.1  报告责任主体</w:t>
      </w:r>
    </w:p>
    <w:p>
      <w:pPr>
        <w:spacing w:line="580" w:lineRule="exact"/>
        <w:ind w:firstLine="640" w:firstLineChars="200"/>
        <w:rPr>
          <w:rFonts w:eastAsia="仿宋_GB2312"/>
          <w:sz w:val="32"/>
          <w:szCs w:val="32"/>
        </w:rPr>
      </w:pPr>
      <w:r>
        <w:rPr>
          <w:rFonts w:eastAsia="仿宋_GB2312"/>
          <w:sz w:val="32"/>
          <w:szCs w:val="32"/>
        </w:rPr>
        <w:t>（1）药品生产企业和药品经营企业；</w:t>
      </w:r>
    </w:p>
    <w:p>
      <w:pPr>
        <w:spacing w:line="580" w:lineRule="exact"/>
        <w:ind w:firstLine="640" w:firstLineChars="200"/>
        <w:rPr>
          <w:rFonts w:eastAsia="仿宋_GB2312"/>
          <w:sz w:val="32"/>
          <w:szCs w:val="32"/>
        </w:rPr>
      </w:pPr>
      <w:r>
        <w:rPr>
          <w:rFonts w:eastAsia="仿宋_GB2312"/>
          <w:sz w:val="32"/>
          <w:szCs w:val="32"/>
        </w:rPr>
        <w:t>（2）医疗卫生机构，疾病预防控制机构等；</w:t>
      </w:r>
    </w:p>
    <w:p>
      <w:pPr>
        <w:spacing w:line="580" w:lineRule="exact"/>
        <w:ind w:firstLine="640" w:firstLineChars="200"/>
        <w:rPr>
          <w:rFonts w:eastAsia="仿宋_GB2312"/>
          <w:sz w:val="32"/>
          <w:szCs w:val="32"/>
        </w:rPr>
      </w:pPr>
      <w:r>
        <w:rPr>
          <w:rFonts w:eastAsia="仿宋_GB2312"/>
          <w:sz w:val="32"/>
          <w:szCs w:val="32"/>
        </w:rPr>
        <w:t>（3）药品不良反应监测机构；</w:t>
      </w:r>
    </w:p>
    <w:p>
      <w:pPr>
        <w:spacing w:line="580" w:lineRule="exact"/>
        <w:ind w:firstLine="640" w:firstLineChars="200"/>
        <w:rPr>
          <w:rFonts w:eastAsia="仿宋_GB2312"/>
          <w:sz w:val="32"/>
          <w:szCs w:val="32"/>
        </w:rPr>
      </w:pPr>
      <w:r>
        <w:rPr>
          <w:rFonts w:eastAsia="仿宋_GB2312"/>
          <w:sz w:val="32"/>
          <w:szCs w:val="32"/>
        </w:rPr>
        <w:t>（4）市场（药品）监管部门；</w:t>
      </w:r>
    </w:p>
    <w:p>
      <w:pPr>
        <w:spacing w:line="580" w:lineRule="exact"/>
        <w:ind w:firstLine="640" w:firstLineChars="200"/>
        <w:rPr>
          <w:rFonts w:eastAsia="仿宋_GB2312"/>
          <w:sz w:val="32"/>
          <w:szCs w:val="32"/>
        </w:rPr>
      </w:pPr>
      <w:r>
        <w:rPr>
          <w:rFonts w:eastAsia="仿宋_GB2312"/>
          <w:sz w:val="32"/>
          <w:szCs w:val="32"/>
        </w:rPr>
        <w:t>（5）药品检验检测机构；</w:t>
      </w:r>
    </w:p>
    <w:p>
      <w:pPr>
        <w:spacing w:line="580" w:lineRule="exact"/>
        <w:ind w:firstLine="640" w:firstLineChars="200"/>
        <w:rPr>
          <w:rFonts w:eastAsia="仿宋_GB2312"/>
          <w:sz w:val="32"/>
          <w:szCs w:val="32"/>
        </w:rPr>
      </w:pPr>
      <w:r>
        <w:rPr>
          <w:rFonts w:eastAsia="仿宋_GB2312"/>
          <w:sz w:val="32"/>
          <w:szCs w:val="32"/>
        </w:rPr>
        <w:t>（6）其他单位和个人等报告主体。</w:t>
      </w:r>
    </w:p>
    <w:p>
      <w:pPr>
        <w:spacing w:line="580" w:lineRule="exact"/>
        <w:ind w:firstLine="640" w:firstLineChars="200"/>
        <w:rPr>
          <w:rFonts w:eastAsia="仿宋_GB2312"/>
          <w:sz w:val="32"/>
          <w:szCs w:val="32"/>
        </w:rPr>
      </w:pPr>
      <w:r>
        <w:rPr>
          <w:rFonts w:eastAsia="仿宋_GB2312"/>
          <w:sz w:val="32"/>
          <w:szCs w:val="32"/>
        </w:rPr>
        <w:t>3.2.2  报告程序和时限</w:t>
      </w:r>
    </w:p>
    <w:p>
      <w:pPr>
        <w:spacing w:line="580" w:lineRule="exact"/>
        <w:ind w:firstLine="640" w:firstLineChars="200"/>
        <w:rPr>
          <w:rFonts w:eastAsia="仿宋_GB2312"/>
          <w:sz w:val="32"/>
          <w:szCs w:val="32"/>
        </w:rPr>
      </w:pPr>
      <w:r>
        <w:rPr>
          <w:rFonts w:eastAsia="仿宋_GB2312"/>
          <w:sz w:val="32"/>
          <w:szCs w:val="32"/>
        </w:rPr>
        <w:t>按照由下至上逐级报告的原则，各责任主体应及时报告药品安全事件，紧急情况可同时越级报告。</w:t>
      </w:r>
    </w:p>
    <w:p>
      <w:pPr>
        <w:spacing w:line="580" w:lineRule="exact"/>
        <w:ind w:firstLine="640" w:firstLineChars="200"/>
        <w:rPr>
          <w:rFonts w:eastAsia="仿宋_GB2312"/>
          <w:color w:val="00B050"/>
          <w:sz w:val="32"/>
          <w:szCs w:val="32"/>
        </w:rPr>
      </w:pPr>
      <w:r>
        <w:rPr>
          <w:rFonts w:eastAsia="仿宋_GB2312"/>
          <w:sz w:val="32"/>
          <w:szCs w:val="32"/>
        </w:rPr>
        <w:t>（1）药品生产企业、药品批发企业、零售连锁总部、互联网销售第三方平台在发现或获知药品安全事件发生后，应当立即向当地市场监管部门和省药监局区域检查第三分局报告；药品零售企业在发现或获知药品安全事件发生后，应当立即向当地市场监管部门报告。</w:t>
      </w:r>
    </w:p>
    <w:p>
      <w:pPr>
        <w:spacing w:line="580" w:lineRule="exact"/>
        <w:ind w:firstLine="640" w:firstLineChars="200"/>
        <w:rPr>
          <w:rFonts w:eastAsia="仿宋_GB2312"/>
          <w:sz w:val="32"/>
          <w:szCs w:val="32"/>
        </w:rPr>
      </w:pPr>
      <w:r>
        <w:rPr>
          <w:rFonts w:eastAsia="仿宋_GB2312"/>
          <w:sz w:val="32"/>
          <w:szCs w:val="32"/>
        </w:rPr>
        <w:t>医疗卫生机构和疾病预防控制机构在发现或获知药品安全事件发生后，应当立即向当地市场监管部门报告，同时向当地卫生健康部门报告。当地卫生健康部门从其他渠道获得的药品安全事件信息，应及时通报市场监管部门。</w:t>
      </w:r>
    </w:p>
    <w:p>
      <w:pPr>
        <w:spacing w:line="580" w:lineRule="exact"/>
        <w:ind w:firstLine="640" w:firstLineChars="200"/>
        <w:rPr>
          <w:rFonts w:eastAsia="仿宋_GB2312"/>
          <w:sz w:val="32"/>
          <w:szCs w:val="32"/>
        </w:rPr>
      </w:pPr>
      <w:r>
        <w:rPr>
          <w:rFonts w:eastAsia="仿宋_GB2312"/>
          <w:sz w:val="32"/>
          <w:szCs w:val="32"/>
        </w:rPr>
        <w:t>区市场监管部门发现或获知药品安全事件后，应及时向本级政府和上级监管部门报告。最迟不得超过2小时。</w:t>
      </w:r>
    </w:p>
    <w:p>
      <w:pPr>
        <w:spacing w:line="580" w:lineRule="exact"/>
        <w:ind w:firstLine="640" w:firstLineChars="200"/>
        <w:rPr>
          <w:rFonts w:eastAsia="仿宋_GB2312"/>
          <w:sz w:val="32"/>
          <w:szCs w:val="32"/>
        </w:rPr>
      </w:pPr>
      <w:r>
        <w:rPr>
          <w:rFonts w:eastAsia="仿宋_GB2312"/>
          <w:sz w:val="32"/>
          <w:szCs w:val="32"/>
        </w:rPr>
        <w:t>（2）接到报告后，对报告内容的可靠性进行核实和初步研判，初步认定为Ⅰ级（特别重大）、Ⅱ级（重大）、Ⅲ级（较大）药品安全事件的，事件发生地市场监管部门，应在2小时内向本级政府和上级市场监管报告。事件发生地区市场监管部门立即组织人员，赴现场进行调查核实。情况紧急时，可同时向区政府（区政府值班室）、市市场监管部门报告。</w:t>
      </w:r>
    </w:p>
    <w:p>
      <w:pPr>
        <w:spacing w:line="580" w:lineRule="exact"/>
        <w:ind w:firstLine="640" w:firstLineChars="200"/>
        <w:rPr>
          <w:rFonts w:eastAsia="仿宋_GB2312"/>
          <w:sz w:val="32"/>
          <w:szCs w:val="32"/>
        </w:rPr>
      </w:pPr>
      <w:r>
        <w:rPr>
          <w:rFonts w:eastAsia="仿宋_GB2312"/>
          <w:sz w:val="32"/>
          <w:szCs w:val="32"/>
        </w:rPr>
        <w:t>信息报送时限另有规定的，按有关规定执行。</w:t>
      </w:r>
    </w:p>
    <w:p>
      <w:pPr>
        <w:spacing w:line="580" w:lineRule="exact"/>
        <w:ind w:firstLine="640" w:firstLineChars="200"/>
        <w:rPr>
          <w:rFonts w:eastAsia="仿宋_GB2312"/>
          <w:sz w:val="32"/>
          <w:szCs w:val="32"/>
        </w:rPr>
      </w:pPr>
      <w:r>
        <w:rPr>
          <w:rFonts w:eastAsia="仿宋_GB2312"/>
          <w:sz w:val="32"/>
          <w:szCs w:val="32"/>
        </w:rPr>
        <w:t>（3）事件发生地区政府接到报告时，按照相关要求应立即报告市政府（市政府值班室）和上级药品监管部门，并通报市卫生健康部门。必要时，将药品安全事件情况通报相关部门。</w:t>
      </w:r>
    </w:p>
    <w:p>
      <w:pPr>
        <w:spacing w:line="580" w:lineRule="exact"/>
        <w:ind w:firstLine="640" w:firstLineChars="200"/>
        <w:rPr>
          <w:rFonts w:eastAsia="仿宋_GB2312"/>
          <w:sz w:val="32"/>
          <w:szCs w:val="32"/>
        </w:rPr>
      </w:pPr>
      <w:r>
        <w:rPr>
          <w:rFonts w:eastAsia="仿宋_GB2312"/>
          <w:sz w:val="32"/>
          <w:szCs w:val="32"/>
        </w:rPr>
        <w:t>（4）涉及外国公民，或事件可能影响到境外的，及时通报外事部门。</w:t>
      </w:r>
    </w:p>
    <w:p>
      <w:pPr>
        <w:spacing w:line="580" w:lineRule="exact"/>
        <w:ind w:firstLine="640" w:firstLineChars="200"/>
        <w:rPr>
          <w:rFonts w:eastAsia="仿宋_GB2312"/>
          <w:sz w:val="32"/>
          <w:szCs w:val="32"/>
        </w:rPr>
      </w:pPr>
      <w:r>
        <w:rPr>
          <w:rFonts w:eastAsia="仿宋_GB2312"/>
          <w:sz w:val="32"/>
          <w:szCs w:val="32"/>
        </w:rPr>
        <w:t>3.2.3  报告内容</w:t>
      </w:r>
    </w:p>
    <w:p>
      <w:pPr>
        <w:spacing w:line="580" w:lineRule="exact"/>
        <w:ind w:firstLine="640" w:firstLineChars="200"/>
        <w:rPr>
          <w:rFonts w:eastAsia="仿宋_GB2312"/>
          <w:sz w:val="32"/>
          <w:szCs w:val="32"/>
        </w:rPr>
      </w:pPr>
      <w:r>
        <w:rPr>
          <w:rFonts w:eastAsia="仿宋_GB2312"/>
          <w:sz w:val="32"/>
          <w:szCs w:val="32"/>
        </w:rPr>
        <w:t>按照事件发生、发展、控制过程，事件信息报告分为初次报告、进展报告和总结报告。</w:t>
      </w:r>
    </w:p>
    <w:p>
      <w:pPr>
        <w:spacing w:line="580" w:lineRule="exact"/>
        <w:ind w:firstLine="640" w:firstLineChars="200"/>
        <w:rPr>
          <w:rFonts w:eastAsia="仿宋_GB2312"/>
          <w:sz w:val="32"/>
          <w:szCs w:val="32"/>
        </w:rPr>
      </w:pPr>
      <w:r>
        <w:rPr>
          <w:rFonts w:eastAsia="仿宋_GB2312"/>
          <w:sz w:val="32"/>
          <w:szCs w:val="32"/>
        </w:rPr>
        <w:t>（1）初次报告：主要内容包括事件名称，事件性质，所涉药品的生产经营企业名称、产品规格、包装及批号等信息，事件的发生时间、地点、影响范围，受害者基本信息、主要症状与体征，已经采取的措施，事件的发展趋势和潜在危害程度，下一步工作计划以及报告单位、联络员和通讯方式。</w:t>
      </w:r>
    </w:p>
    <w:p>
      <w:pPr>
        <w:spacing w:line="580" w:lineRule="exact"/>
        <w:ind w:firstLine="640" w:firstLineChars="200"/>
        <w:rPr>
          <w:rFonts w:eastAsia="仿宋_GB2312"/>
          <w:sz w:val="32"/>
          <w:szCs w:val="32"/>
        </w:rPr>
      </w:pPr>
      <w:r>
        <w:rPr>
          <w:rFonts w:eastAsia="仿宋_GB2312"/>
          <w:sz w:val="32"/>
          <w:szCs w:val="32"/>
        </w:rPr>
        <w:t>（2）进展报告：主要内容包括事件调查情况和原因分析结果、产品控制情况、事件影响评估、采取的控制措施等，对初次报告的内容进行补充。</w:t>
      </w:r>
    </w:p>
    <w:p>
      <w:pPr>
        <w:spacing w:line="580" w:lineRule="exact"/>
        <w:ind w:firstLine="640" w:firstLineChars="200"/>
        <w:rPr>
          <w:rFonts w:eastAsia="仿宋_GB2312"/>
          <w:sz w:val="32"/>
          <w:szCs w:val="32"/>
        </w:rPr>
      </w:pPr>
      <w:r>
        <w:rPr>
          <w:rFonts w:eastAsia="仿宋_GB2312"/>
          <w:sz w:val="32"/>
          <w:szCs w:val="32"/>
        </w:rPr>
        <w:t>Ⅰ级（特别重大）、Ⅱ级（重大）、Ⅲ级（较大）药品安全事件应每日报告事件进展报告，重要情况随时上报。</w:t>
      </w:r>
    </w:p>
    <w:p>
      <w:pPr>
        <w:spacing w:line="580" w:lineRule="exact"/>
        <w:ind w:firstLine="640" w:firstLineChars="200"/>
        <w:rPr>
          <w:rFonts w:eastAsia="仿宋_GB2312"/>
          <w:sz w:val="32"/>
          <w:szCs w:val="32"/>
        </w:rPr>
      </w:pPr>
      <w:r>
        <w:rPr>
          <w:rFonts w:eastAsia="仿宋_GB2312"/>
          <w:sz w:val="32"/>
          <w:szCs w:val="32"/>
        </w:rPr>
        <w:t>（3）总结报告：主要内容包括对事件的起因、性质、影响、责任、应对等进行全面分析，对事件应对过程中的经验和存在的问题进行及时总结，并提出今后对类似事件的防范和处置建议。总结报告应在事件应急响应终止后2周内报送。</w:t>
      </w:r>
    </w:p>
    <w:p>
      <w:pPr>
        <w:spacing w:line="580" w:lineRule="exact"/>
        <w:ind w:firstLine="640" w:firstLineChars="200"/>
        <w:rPr>
          <w:rFonts w:eastAsia="仿宋_GB2312"/>
          <w:sz w:val="32"/>
          <w:szCs w:val="32"/>
        </w:rPr>
      </w:pPr>
      <w:r>
        <w:rPr>
          <w:rFonts w:eastAsia="仿宋_GB2312"/>
          <w:sz w:val="32"/>
          <w:szCs w:val="32"/>
        </w:rPr>
        <w:t>3.2.4  报告方式</w:t>
      </w:r>
    </w:p>
    <w:p>
      <w:pPr>
        <w:spacing w:line="580" w:lineRule="exact"/>
        <w:ind w:firstLine="640" w:firstLineChars="200"/>
        <w:rPr>
          <w:rFonts w:eastAsia="仿宋_GB2312"/>
          <w:sz w:val="32"/>
          <w:szCs w:val="32"/>
        </w:rPr>
      </w:pPr>
      <w:r>
        <w:rPr>
          <w:rFonts w:eastAsia="仿宋_GB2312"/>
          <w:sz w:val="32"/>
          <w:szCs w:val="32"/>
        </w:rPr>
        <w:t>初次报告和进展报告一般可通过网络、电话或传真等方式报告，总结报告应采用书面或电子文档形式；涉及国家秘密的，应选择符合保密规定的方式报告。</w:t>
      </w:r>
    </w:p>
    <w:p>
      <w:pPr>
        <w:spacing w:line="580" w:lineRule="exact"/>
        <w:ind w:firstLine="640" w:firstLineChars="200"/>
        <w:rPr>
          <w:rFonts w:eastAsia="楷体_GB2312"/>
          <w:sz w:val="32"/>
          <w:szCs w:val="32"/>
        </w:rPr>
      </w:pPr>
      <w:r>
        <w:rPr>
          <w:rFonts w:eastAsia="楷体_GB2312"/>
          <w:sz w:val="32"/>
          <w:szCs w:val="32"/>
        </w:rPr>
        <w:t>3.3  预警</w:t>
      </w:r>
    </w:p>
    <w:p>
      <w:pPr>
        <w:spacing w:line="580" w:lineRule="exact"/>
        <w:ind w:firstLine="640" w:firstLineChars="200"/>
        <w:rPr>
          <w:rFonts w:eastAsia="仿宋_GB2312"/>
          <w:sz w:val="32"/>
          <w:szCs w:val="32"/>
        </w:rPr>
      </w:pPr>
      <w:r>
        <w:rPr>
          <w:rFonts w:eastAsia="仿宋_GB2312"/>
          <w:sz w:val="32"/>
          <w:szCs w:val="32"/>
        </w:rPr>
        <w:t>根据监测信息，对行政区域内药品安全事件相关危险因素进行分析，对可能危害公众健康的风险因素、风险级别、影响范围、紧急程度和可能存在的危害提出分析评估意见，及时向上一级政府和市场监管部门报告。</w:t>
      </w:r>
    </w:p>
    <w:p>
      <w:pPr>
        <w:spacing w:line="580" w:lineRule="exact"/>
        <w:ind w:firstLine="640" w:firstLineChars="200"/>
        <w:rPr>
          <w:rFonts w:eastAsia="仿宋_GB2312"/>
          <w:sz w:val="32"/>
          <w:szCs w:val="32"/>
        </w:rPr>
      </w:pPr>
      <w:r>
        <w:rPr>
          <w:rFonts w:eastAsia="仿宋_GB2312"/>
          <w:sz w:val="32"/>
          <w:szCs w:val="32"/>
        </w:rPr>
        <w:t>3.3.1  预警分级</w:t>
      </w:r>
    </w:p>
    <w:p>
      <w:pPr>
        <w:spacing w:line="580" w:lineRule="exact"/>
        <w:ind w:firstLine="640" w:firstLineChars="200"/>
        <w:rPr>
          <w:rFonts w:eastAsia="仿宋_GB2312"/>
          <w:sz w:val="32"/>
          <w:szCs w:val="32"/>
        </w:rPr>
      </w:pPr>
      <w:r>
        <w:rPr>
          <w:rFonts w:eastAsia="仿宋_GB2312"/>
          <w:sz w:val="32"/>
          <w:szCs w:val="32"/>
        </w:rPr>
        <w:t>对可以预警的药品安全事件，根据风险评估结果进行分级预警，一般划分为一级、二级、三级、四级。一级预警由国家层面确定发布，二级预警由省级层面确定发布，三级预警由市市场监管部门报请市政府授权确定发布，四级预警由区市场监管部门报请区政府授权确定发布并采取相应措施。</w:t>
      </w:r>
    </w:p>
    <w:p>
      <w:pPr>
        <w:spacing w:line="580" w:lineRule="exact"/>
        <w:ind w:firstLine="640" w:firstLineChars="200"/>
        <w:rPr>
          <w:rFonts w:eastAsia="仿宋_GB2312"/>
          <w:sz w:val="32"/>
          <w:szCs w:val="32"/>
        </w:rPr>
      </w:pPr>
      <w:r>
        <w:rPr>
          <w:rFonts w:eastAsia="仿宋_GB2312"/>
          <w:sz w:val="32"/>
          <w:szCs w:val="32"/>
        </w:rPr>
        <w:t>一级：有可能发生Ⅰ级（特别重大）药品安全事件；发生Ⅱ级（重大）药品安全事件。</w:t>
      </w:r>
    </w:p>
    <w:p>
      <w:pPr>
        <w:spacing w:line="580" w:lineRule="exact"/>
        <w:ind w:firstLine="640" w:firstLineChars="200"/>
        <w:rPr>
          <w:rFonts w:eastAsia="仿宋_GB2312"/>
          <w:sz w:val="32"/>
          <w:szCs w:val="32"/>
        </w:rPr>
      </w:pPr>
      <w:r>
        <w:rPr>
          <w:rFonts w:eastAsia="仿宋_GB2312"/>
          <w:sz w:val="32"/>
          <w:szCs w:val="32"/>
        </w:rPr>
        <w:t>二级：有可能发生Ⅱ级（重大）药品安全事件；发生Ⅲ级（较大）药品安全事件。</w:t>
      </w:r>
    </w:p>
    <w:p>
      <w:pPr>
        <w:spacing w:line="580" w:lineRule="exact"/>
        <w:ind w:firstLine="640" w:firstLineChars="200"/>
        <w:rPr>
          <w:rFonts w:eastAsia="仿宋_GB2312"/>
          <w:sz w:val="32"/>
          <w:szCs w:val="32"/>
        </w:rPr>
      </w:pPr>
      <w:r>
        <w:rPr>
          <w:rFonts w:eastAsia="仿宋_GB2312"/>
          <w:sz w:val="32"/>
          <w:szCs w:val="32"/>
        </w:rPr>
        <w:t>三级：有可能发生Ⅲ级（较大）药品安全事件；发生Ⅳ级（一般）药品安全事件。</w:t>
      </w:r>
    </w:p>
    <w:p>
      <w:pPr>
        <w:spacing w:line="580" w:lineRule="exact"/>
        <w:ind w:firstLine="640" w:firstLineChars="200"/>
        <w:rPr>
          <w:rFonts w:eastAsia="仿宋_GB2312"/>
          <w:sz w:val="32"/>
          <w:szCs w:val="32"/>
        </w:rPr>
      </w:pPr>
      <w:r>
        <w:rPr>
          <w:rFonts w:eastAsia="仿宋_GB2312"/>
          <w:sz w:val="32"/>
          <w:szCs w:val="32"/>
        </w:rPr>
        <w:t>四级：有可能发生Ⅳ级（一般）药品安全事件。</w:t>
      </w:r>
    </w:p>
    <w:p>
      <w:pPr>
        <w:spacing w:line="580" w:lineRule="exact"/>
        <w:ind w:firstLine="640" w:firstLineChars="200"/>
        <w:rPr>
          <w:rFonts w:eastAsia="仿宋_GB2312"/>
          <w:sz w:val="32"/>
          <w:szCs w:val="32"/>
        </w:rPr>
      </w:pPr>
      <w:r>
        <w:rPr>
          <w:rFonts w:eastAsia="仿宋_GB2312"/>
          <w:sz w:val="32"/>
          <w:szCs w:val="32"/>
        </w:rPr>
        <w:t>3.3.2  一级预警措施</w:t>
      </w:r>
    </w:p>
    <w:p>
      <w:pPr>
        <w:spacing w:line="580" w:lineRule="exact"/>
        <w:ind w:firstLine="640" w:firstLineChars="200"/>
        <w:rPr>
          <w:rFonts w:eastAsia="仿宋_GB2312"/>
          <w:sz w:val="32"/>
          <w:szCs w:val="32"/>
        </w:rPr>
      </w:pPr>
      <w:r>
        <w:rPr>
          <w:rFonts w:eastAsia="仿宋_GB2312"/>
          <w:sz w:val="32"/>
          <w:szCs w:val="32"/>
        </w:rPr>
        <w:t>根据国家层面发布的一级预警，采取相关措施。</w:t>
      </w:r>
    </w:p>
    <w:p>
      <w:pPr>
        <w:spacing w:line="580" w:lineRule="exact"/>
        <w:ind w:firstLine="640" w:firstLineChars="200"/>
        <w:rPr>
          <w:rFonts w:eastAsia="仿宋_GB2312"/>
          <w:sz w:val="32"/>
          <w:szCs w:val="32"/>
        </w:rPr>
      </w:pPr>
      <w:r>
        <w:rPr>
          <w:rFonts w:eastAsia="仿宋_GB2312"/>
          <w:sz w:val="32"/>
          <w:szCs w:val="32"/>
        </w:rPr>
        <w:t>3.3.3  二级预警措施</w:t>
      </w:r>
    </w:p>
    <w:p>
      <w:pPr>
        <w:spacing w:line="580" w:lineRule="exact"/>
        <w:ind w:firstLine="640" w:firstLineChars="200"/>
        <w:rPr>
          <w:rFonts w:eastAsia="仿宋_GB2312"/>
          <w:sz w:val="32"/>
          <w:szCs w:val="32"/>
        </w:rPr>
      </w:pPr>
      <w:r>
        <w:rPr>
          <w:rFonts w:eastAsia="仿宋_GB2312"/>
          <w:sz w:val="32"/>
          <w:szCs w:val="32"/>
        </w:rPr>
        <w:t>根据省级层面发布的二级预警，采取相关措施。</w:t>
      </w:r>
    </w:p>
    <w:p>
      <w:pPr>
        <w:spacing w:line="580" w:lineRule="exact"/>
        <w:ind w:firstLine="640" w:firstLineChars="200"/>
        <w:rPr>
          <w:rFonts w:eastAsia="仿宋_GB2312"/>
          <w:sz w:val="32"/>
          <w:szCs w:val="32"/>
        </w:rPr>
      </w:pPr>
      <w:r>
        <w:rPr>
          <w:rFonts w:eastAsia="仿宋_GB2312"/>
          <w:sz w:val="32"/>
          <w:szCs w:val="32"/>
        </w:rPr>
        <w:t xml:space="preserve">3.3.4  三级预警措施 </w:t>
      </w:r>
    </w:p>
    <w:p>
      <w:pPr>
        <w:spacing w:line="580" w:lineRule="exact"/>
        <w:ind w:firstLine="640" w:firstLineChars="200"/>
        <w:rPr>
          <w:rFonts w:eastAsia="仿宋_GB2312"/>
          <w:sz w:val="32"/>
          <w:szCs w:val="32"/>
        </w:rPr>
      </w:pPr>
      <w:r>
        <w:rPr>
          <w:rFonts w:eastAsia="仿宋_GB2312"/>
          <w:sz w:val="32"/>
          <w:szCs w:val="32"/>
        </w:rPr>
        <w:t>根据可能发生的事件的特点和造成的危害，及时采取相应措施。</w:t>
      </w:r>
    </w:p>
    <w:p>
      <w:pPr>
        <w:spacing w:line="580" w:lineRule="exact"/>
        <w:ind w:firstLine="640" w:firstLineChars="200"/>
        <w:rPr>
          <w:rFonts w:eastAsia="仿宋_GB2312"/>
          <w:sz w:val="32"/>
          <w:szCs w:val="32"/>
        </w:rPr>
      </w:pPr>
      <w:r>
        <w:rPr>
          <w:rFonts w:eastAsia="仿宋_GB2312"/>
          <w:sz w:val="32"/>
          <w:szCs w:val="32"/>
        </w:rPr>
        <w:t>区政府和相关部门采取以下措施：</w:t>
      </w:r>
    </w:p>
    <w:p>
      <w:pPr>
        <w:spacing w:line="580" w:lineRule="exact"/>
        <w:ind w:firstLine="640" w:firstLineChars="200"/>
        <w:rPr>
          <w:rFonts w:eastAsia="仿宋_GB2312"/>
          <w:sz w:val="32"/>
          <w:szCs w:val="32"/>
        </w:rPr>
      </w:pPr>
      <w:r>
        <w:rPr>
          <w:rFonts w:eastAsia="仿宋_GB2312"/>
          <w:sz w:val="32"/>
          <w:szCs w:val="32"/>
        </w:rPr>
        <w:t>（1）强化药品安全日常监管，加强对本行政区域内相关药品的监测；</w:t>
      </w:r>
    </w:p>
    <w:p>
      <w:pPr>
        <w:spacing w:line="580" w:lineRule="exact"/>
        <w:ind w:firstLine="640" w:firstLineChars="200"/>
        <w:rPr>
          <w:rFonts w:eastAsia="仿宋_GB2312"/>
          <w:sz w:val="32"/>
          <w:szCs w:val="32"/>
        </w:rPr>
      </w:pPr>
      <w:r>
        <w:rPr>
          <w:rFonts w:eastAsia="仿宋_GB2312"/>
          <w:sz w:val="32"/>
          <w:szCs w:val="32"/>
        </w:rPr>
        <w:t>（2）加强信息沟通，及时掌握相关信息；</w:t>
      </w:r>
    </w:p>
    <w:p>
      <w:pPr>
        <w:spacing w:line="580" w:lineRule="exact"/>
        <w:ind w:firstLine="640" w:firstLineChars="200"/>
        <w:rPr>
          <w:rFonts w:eastAsia="仿宋_GB2312"/>
          <w:sz w:val="32"/>
          <w:szCs w:val="32"/>
        </w:rPr>
      </w:pPr>
      <w:r>
        <w:rPr>
          <w:rFonts w:eastAsia="仿宋_GB2312"/>
          <w:sz w:val="32"/>
          <w:szCs w:val="32"/>
        </w:rPr>
        <w:t>（3）做好应对处置工作，根据情况及时报请市政府和监管部门予以支持和指导；</w:t>
      </w:r>
    </w:p>
    <w:p>
      <w:pPr>
        <w:spacing w:line="580" w:lineRule="exact"/>
        <w:ind w:firstLine="640" w:firstLineChars="200"/>
        <w:rPr>
          <w:rFonts w:eastAsia="仿宋_GB2312"/>
          <w:sz w:val="32"/>
          <w:szCs w:val="32"/>
        </w:rPr>
      </w:pPr>
      <w:r>
        <w:rPr>
          <w:rFonts w:eastAsia="仿宋_GB2312"/>
          <w:sz w:val="32"/>
          <w:szCs w:val="32"/>
        </w:rPr>
        <w:t>（4）按照市政府和相关部门的部署和要求，做好相关工作，相关情况及时报告。</w:t>
      </w:r>
    </w:p>
    <w:p>
      <w:pPr>
        <w:spacing w:line="580" w:lineRule="exact"/>
        <w:ind w:firstLine="640" w:firstLineChars="200"/>
        <w:rPr>
          <w:rFonts w:eastAsia="仿宋_GB2312"/>
          <w:sz w:val="32"/>
          <w:szCs w:val="32"/>
        </w:rPr>
      </w:pPr>
      <w:r>
        <w:rPr>
          <w:rFonts w:eastAsia="仿宋_GB2312"/>
          <w:sz w:val="32"/>
          <w:szCs w:val="32"/>
        </w:rPr>
        <w:t>3.3.5  四级预警措施</w:t>
      </w:r>
    </w:p>
    <w:p>
      <w:pPr>
        <w:spacing w:line="580" w:lineRule="exact"/>
        <w:ind w:firstLine="640" w:firstLineChars="200"/>
        <w:rPr>
          <w:rFonts w:eastAsia="仿宋_GB2312"/>
          <w:sz w:val="32"/>
          <w:szCs w:val="32"/>
        </w:rPr>
      </w:pPr>
      <w:r>
        <w:rPr>
          <w:rFonts w:eastAsia="仿宋_GB2312"/>
          <w:sz w:val="32"/>
          <w:szCs w:val="32"/>
        </w:rPr>
        <w:t>区政府和相关部门采取以下措施：</w:t>
      </w:r>
    </w:p>
    <w:p>
      <w:pPr>
        <w:spacing w:line="580" w:lineRule="exact"/>
        <w:ind w:firstLine="640" w:firstLineChars="200"/>
        <w:rPr>
          <w:rFonts w:eastAsia="仿宋_GB2312"/>
          <w:sz w:val="32"/>
          <w:szCs w:val="32"/>
        </w:rPr>
      </w:pPr>
      <w:r>
        <w:rPr>
          <w:rFonts w:eastAsia="仿宋_GB2312"/>
          <w:sz w:val="32"/>
          <w:szCs w:val="32"/>
        </w:rPr>
        <w:t>（1）做好启动Ⅲ级（较大）响应的准备；</w:t>
      </w:r>
    </w:p>
    <w:p>
      <w:pPr>
        <w:spacing w:line="580" w:lineRule="exact"/>
        <w:ind w:firstLine="640" w:firstLineChars="200"/>
        <w:rPr>
          <w:rFonts w:eastAsia="仿宋_GB2312"/>
          <w:sz w:val="32"/>
          <w:szCs w:val="32"/>
        </w:rPr>
      </w:pPr>
      <w:r>
        <w:rPr>
          <w:rFonts w:eastAsia="仿宋_GB2312"/>
          <w:sz w:val="32"/>
          <w:szCs w:val="32"/>
        </w:rPr>
        <w:t>（2）组织加强对事件发展情况的动态监测，随时对相关信息进行分析评估，根据情况调整预警级别；</w:t>
      </w:r>
    </w:p>
    <w:p>
      <w:pPr>
        <w:spacing w:line="580" w:lineRule="exact"/>
        <w:ind w:firstLine="640" w:firstLineChars="200"/>
        <w:rPr>
          <w:rFonts w:eastAsia="仿宋_GB2312"/>
          <w:sz w:val="32"/>
          <w:szCs w:val="32"/>
        </w:rPr>
      </w:pPr>
      <w:r>
        <w:rPr>
          <w:rFonts w:eastAsia="仿宋_GB2312"/>
          <w:sz w:val="32"/>
          <w:szCs w:val="32"/>
        </w:rPr>
        <w:t>（3）加强对事件发生地应急处置工作的指导，必要时派出人员赶赴现场；</w:t>
      </w:r>
    </w:p>
    <w:p>
      <w:pPr>
        <w:spacing w:line="580" w:lineRule="exact"/>
        <w:ind w:firstLine="640" w:firstLineChars="200"/>
        <w:rPr>
          <w:rFonts w:eastAsia="仿宋_GB2312"/>
          <w:sz w:val="32"/>
          <w:szCs w:val="32"/>
        </w:rPr>
      </w:pPr>
      <w:r>
        <w:rPr>
          <w:rFonts w:eastAsia="仿宋_GB2312"/>
          <w:sz w:val="32"/>
          <w:szCs w:val="32"/>
        </w:rPr>
        <w:t>（4）及时向社会发布所涉及药品警示信息，宣传避免、减少危害的科学常识，公布咨询电话，发送信息提示；</w:t>
      </w:r>
    </w:p>
    <w:p>
      <w:pPr>
        <w:spacing w:line="580" w:lineRule="exact"/>
        <w:ind w:firstLine="640" w:firstLineChars="200"/>
        <w:rPr>
          <w:rFonts w:eastAsia="仿宋_GB2312"/>
          <w:sz w:val="32"/>
          <w:szCs w:val="32"/>
        </w:rPr>
      </w:pPr>
      <w:r>
        <w:rPr>
          <w:rFonts w:eastAsia="仿宋_GB2312"/>
          <w:sz w:val="32"/>
          <w:szCs w:val="32"/>
        </w:rPr>
        <w:t>（5）及时向有关部门通报预警信息。</w:t>
      </w:r>
    </w:p>
    <w:p>
      <w:pPr>
        <w:spacing w:line="580" w:lineRule="exact"/>
        <w:ind w:firstLine="640" w:firstLineChars="200"/>
        <w:rPr>
          <w:rFonts w:eastAsia="仿宋_GB2312"/>
          <w:sz w:val="32"/>
          <w:szCs w:val="32"/>
        </w:rPr>
      </w:pPr>
      <w:r>
        <w:rPr>
          <w:rFonts w:eastAsia="仿宋_GB2312"/>
          <w:sz w:val="32"/>
          <w:szCs w:val="32"/>
        </w:rPr>
        <w:t>3.3.6  预警级别调整和解除</w:t>
      </w:r>
    </w:p>
    <w:p>
      <w:pPr>
        <w:spacing w:line="580" w:lineRule="exact"/>
        <w:ind w:firstLine="640" w:firstLineChars="200"/>
        <w:rPr>
          <w:rFonts w:eastAsia="仿宋_GB2312"/>
          <w:sz w:val="32"/>
          <w:szCs w:val="32"/>
        </w:rPr>
      </w:pPr>
      <w:r>
        <w:rPr>
          <w:rFonts w:eastAsia="仿宋_GB2312"/>
          <w:sz w:val="32"/>
          <w:szCs w:val="32"/>
        </w:rPr>
        <w:t>一级预警级别调整与解除由国家层面负责。</w:t>
      </w:r>
    </w:p>
    <w:p>
      <w:pPr>
        <w:spacing w:line="580" w:lineRule="exact"/>
        <w:ind w:firstLine="640" w:firstLineChars="200"/>
        <w:rPr>
          <w:rFonts w:eastAsia="仿宋_GB2312"/>
          <w:sz w:val="32"/>
          <w:szCs w:val="32"/>
        </w:rPr>
      </w:pPr>
      <w:r>
        <w:rPr>
          <w:rFonts w:eastAsia="仿宋_GB2312"/>
          <w:sz w:val="32"/>
          <w:szCs w:val="32"/>
        </w:rPr>
        <w:t>二级预警级别调整与解除由省级层面负责。</w:t>
      </w:r>
    </w:p>
    <w:p>
      <w:pPr>
        <w:spacing w:line="580" w:lineRule="exact"/>
        <w:ind w:firstLine="640" w:firstLineChars="200"/>
        <w:rPr>
          <w:rFonts w:eastAsia="仿宋_GB2312"/>
          <w:sz w:val="32"/>
          <w:szCs w:val="32"/>
        </w:rPr>
      </w:pPr>
      <w:r>
        <w:rPr>
          <w:rFonts w:eastAsia="仿宋_GB2312"/>
          <w:sz w:val="32"/>
          <w:szCs w:val="32"/>
        </w:rPr>
        <w:t>三级预警级别调整与解除由市级层面负责。</w:t>
      </w:r>
    </w:p>
    <w:p>
      <w:pPr>
        <w:spacing w:line="580" w:lineRule="exact"/>
        <w:ind w:firstLine="640" w:firstLineChars="200"/>
        <w:rPr>
          <w:rFonts w:eastAsia="仿宋_GB2312"/>
          <w:sz w:val="32"/>
          <w:szCs w:val="32"/>
        </w:rPr>
      </w:pPr>
      <w:r>
        <w:rPr>
          <w:rFonts w:eastAsia="仿宋_GB2312"/>
          <w:sz w:val="32"/>
          <w:szCs w:val="32"/>
        </w:rPr>
        <w:t>四级预警级别调整与解除：根据评估结果、对事件的处置情况，认为预警可能发生的事件趋势好转或可能性消除，由区政府或授权区市场监管部门宣布降低或解除预警。</w:t>
      </w:r>
    </w:p>
    <w:p>
      <w:pPr>
        <w:spacing w:line="580" w:lineRule="exact"/>
        <w:ind w:firstLine="640" w:firstLineChars="200"/>
        <w:rPr>
          <w:rFonts w:eastAsia="黑体"/>
          <w:sz w:val="32"/>
          <w:szCs w:val="32"/>
        </w:rPr>
      </w:pPr>
      <w:r>
        <w:rPr>
          <w:rFonts w:eastAsia="黑体"/>
          <w:sz w:val="32"/>
          <w:szCs w:val="32"/>
        </w:rPr>
        <w:t>4  应急响应</w:t>
      </w:r>
    </w:p>
    <w:p>
      <w:pPr>
        <w:spacing w:line="580" w:lineRule="exact"/>
        <w:ind w:firstLine="640" w:firstLineChars="200"/>
        <w:rPr>
          <w:rFonts w:eastAsia="楷体_GB2312"/>
          <w:sz w:val="32"/>
          <w:szCs w:val="32"/>
        </w:rPr>
      </w:pPr>
      <w:r>
        <w:rPr>
          <w:rFonts w:eastAsia="楷体_GB2312"/>
          <w:sz w:val="32"/>
          <w:szCs w:val="32"/>
        </w:rPr>
        <w:t>4.1  应急响应分级</w:t>
      </w:r>
      <w:r>
        <w:rPr>
          <w:rFonts w:eastAsia="楷体_GB2312"/>
          <w:sz w:val="32"/>
          <w:szCs w:val="32"/>
        </w:rPr>
        <w:tab/>
      </w:r>
    </w:p>
    <w:p>
      <w:pPr>
        <w:spacing w:line="580" w:lineRule="exact"/>
        <w:ind w:firstLine="640" w:firstLineChars="200"/>
        <w:rPr>
          <w:rFonts w:eastAsia="仿宋_GB2312"/>
          <w:sz w:val="32"/>
          <w:szCs w:val="32"/>
        </w:rPr>
      </w:pPr>
      <w:r>
        <w:rPr>
          <w:rFonts w:eastAsia="仿宋_GB2312"/>
          <w:sz w:val="32"/>
          <w:szCs w:val="32"/>
        </w:rPr>
        <w:t>按照统一领导、分级负责的原则，根据药品安全事件的级别，药品安全事件的应急响应分为Ⅰ级（特别重大）、Ⅱ级（重大）、Ⅲ级（较大）、Ⅳ级（一般）。</w:t>
      </w:r>
    </w:p>
    <w:p>
      <w:pPr>
        <w:spacing w:line="580" w:lineRule="exact"/>
        <w:ind w:firstLine="640" w:firstLineChars="200"/>
        <w:rPr>
          <w:rFonts w:eastAsia="仿宋_GB2312"/>
          <w:sz w:val="32"/>
          <w:szCs w:val="32"/>
        </w:rPr>
      </w:pPr>
      <w:r>
        <w:rPr>
          <w:rFonts w:eastAsia="仿宋_GB2312"/>
          <w:sz w:val="32"/>
          <w:szCs w:val="32"/>
        </w:rPr>
        <w:t>发生药品安全事件时，应按照《周村区突发事件总体应急预案》响应原则，作出相应级别应急响应。同时，应遵循药品安全事件发生发展的客观规律，结合实际情况，及时调整响应级别，以有效控制事件，减少危害和影响。</w:t>
      </w:r>
    </w:p>
    <w:p>
      <w:pPr>
        <w:spacing w:line="580" w:lineRule="exact"/>
        <w:ind w:firstLine="640" w:firstLineChars="200"/>
        <w:rPr>
          <w:rFonts w:eastAsia="楷体_GB2312"/>
          <w:sz w:val="32"/>
          <w:szCs w:val="32"/>
        </w:rPr>
      </w:pPr>
      <w:r>
        <w:rPr>
          <w:rFonts w:eastAsia="楷体_GB2312"/>
          <w:sz w:val="32"/>
          <w:szCs w:val="32"/>
        </w:rPr>
        <w:t>4.2  先期处置</w:t>
      </w:r>
    </w:p>
    <w:p>
      <w:pPr>
        <w:spacing w:line="580" w:lineRule="exact"/>
        <w:ind w:firstLine="640" w:firstLineChars="200"/>
        <w:rPr>
          <w:rFonts w:eastAsia="仿宋_GB2312"/>
          <w:sz w:val="32"/>
          <w:szCs w:val="32"/>
        </w:rPr>
      </w:pPr>
      <w:r>
        <w:rPr>
          <w:rFonts w:eastAsia="仿宋_GB2312"/>
          <w:sz w:val="32"/>
          <w:szCs w:val="32"/>
        </w:rPr>
        <w:t>接到药品安全事件报告后，在事件发生地政府领导下，市场监管部门应立即协调卫生健康部门对患者开展医疗救治工作，到事发现场进行调查核实、对相关药品进行封存，根据情况可在本行政辖区内对相关药品采取暂停销售、使用等紧急控制措施，并对相关药品进行抽检，对药品零售使用环节进行现场调查。同时汇报相关情况至省药监局区域检查第三分局对涉事药品生产环节，药品批发企业、零售连锁总部、互联网销售第三方平台等采取相应应急处置措施。</w:t>
      </w:r>
    </w:p>
    <w:p>
      <w:pPr>
        <w:spacing w:line="580" w:lineRule="exact"/>
        <w:ind w:firstLine="640" w:firstLineChars="200"/>
        <w:rPr>
          <w:rFonts w:eastAsia="仿宋_GB2312"/>
          <w:sz w:val="32"/>
          <w:szCs w:val="32"/>
        </w:rPr>
      </w:pPr>
      <w:r>
        <w:rPr>
          <w:rFonts w:eastAsia="仿宋_GB2312"/>
          <w:sz w:val="32"/>
          <w:szCs w:val="32"/>
        </w:rPr>
        <w:t>接到药品安全事件报告后，立即与市市场监管部门联系，调查核实事件原因和进展情况，及时将有关情况报告区政府，并根据情况开展以下工作：</w:t>
      </w:r>
    </w:p>
    <w:p>
      <w:pPr>
        <w:spacing w:line="580" w:lineRule="exact"/>
        <w:ind w:firstLine="640" w:firstLineChars="200"/>
        <w:rPr>
          <w:rFonts w:eastAsia="仿宋_GB2312"/>
          <w:sz w:val="32"/>
          <w:szCs w:val="32"/>
        </w:rPr>
      </w:pPr>
      <w:r>
        <w:rPr>
          <w:rFonts w:eastAsia="仿宋_GB2312"/>
          <w:sz w:val="32"/>
          <w:szCs w:val="32"/>
        </w:rPr>
        <w:t>（1）组织对事件涉及药品不良反应和检验检测数据进行分析评价，及时对数据库资料进行汇总统计。同时检索国内外相关资料，随时汇总、分析相关信息。</w:t>
      </w:r>
    </w:p>
    <w:p>
      <w:pPr>
        <w:spacing w:line="580" w:lineRule="exact"/>
        <w:ind w:firstLine="640" w:firstLineChars="200"/>
        <w:rPr>
          <w:rFonts w:eastAsia="仿宋_GB2312"/>
          <w:sz w:val="32"/>
          <w:szCs w:val="32"/>
        </w:rPr>
      </w:pPr>
      <w:r>
        <w:rPr>
          <w:rFonts w:eastAsia="仿宋_GB2312"/>
          <w:sz w:val="32"/>
          <w:szCs w:val="32"/>
        </w:rPr>
        <w:t>（2）密切跟踪事件发展情况。组织对事件进行初步分析研判，提出是否向有关地区以及是否采取暂停销售、使用的建议。</w:t>
      </w:r>
    </w:p>
    <w:p>
      <w:pPr>
        <w:spacing w:line="580" w:lineRule="exact"/>
        <w:ind w:firstLine="640" w:firstLineChars="200"/>
        <w:rPr>
          <w:rFonts w:eastAsia="仿宋_GB2312"/>
          <w:sz w:val="32"/>
          <w:szCs w:val="32"/>
        </w:rPr>
      </w:pPr>
      <w:r>
        <w:rPr>
          <w:rFonts w:eastAsia="仿宋_GB2312"/>
          <w:sz w:val="32"/>
          <w:szCs w:val="32"/>
        </w:rPr>
        <w:t>（3）需暂停销售、使用的，提出暂停销售和使用相关药品风险控制措施决定并组织实施。</w:t>
      </w:r>
    </w:p>
    <w:p>
      <w:pPr>
        <w:spacing w:line="580" w:lineRule="exact"/>
        <w:ind w:firstLine="640" w:firstLineChars="200"/>
        <w:rPr>
          <w:rFonts w:eastAsia="仿宋_GB2312"/>
          <w:sz w:val="32"/>
          <w:szCs w:val="32"/>
        </w:rPr>
      </w:pPr>
      <w:r>
        <w:rPr>
          <w:rFonts w:eastAsia="仿宋_GB2312"/>
          <w:sz w:val="32"/>
          <w:szCs w:val="32"/>
        </w:rPr>
        <w:t xml:space="preserve">（4）加强对事件处置工作的指导和协调。必要时组织临床、药学等相关专家前往事发现场，对病人或病例进行现场调查并初步进行关联性评价。根据事件情况，组织相关检查员对涉及零售企业、医疗卫生机构进行检查，并对相关药品进行抽样送检。 </w:t>
      </w:r>
    </w:p>
    <w:p>
      <w:pPr>
        <w:spacing w:line="580" w:lineRule="exact"/>
        <w:ind w:firstLine="640" w:firstLineChars="200"/>
        <w:rPr>
          <w:rFonts w:eastAsia="仿宋_GB2312"/>
          <w:sz w:val="32"/>
          <w:szCs w:val="32"/>
        </w:rPr>
      </w:pPr>
      <w:r>
        <w:rPr>
          <w:rFonts w:eastAsia="仿宋_GB2312"/>
          <w:sz w:val="32"/>
          <w:szCs w:val="32"/>
        </w:rPr>
        <w:t>（5）及时将有关情况报告区政府和上级监管部门，并通报区卫生健康部门。</w:t>
      </w:r>
    </w:p>
    <w:p>
      <w:pPr>
        <w:spacing w:line="580" w:lineRule="exact"/>
        <w:ind w:firstLine="640" w:firstLineChars="200"/>
        <w:rPr>
          <w:rFonts w:eastAsia="仿宋_GB2312"/>
          <w:sz w:val="32"/>
          <w:szCs w:val="32"/>
        </w:rPr>
      </w:pPr>
      <w:r>
        <w:rPr>
          <w:rFonts w:eastAsia="仿宋_GB2312"/>
          <w:sz w:val="32"/>
          <w:szCs w:val="32"/>
        </w:rPr>
        <w:t>（6）根据调查情况，组织专家进行分析评价，对事件性质和原因提出意见。</w:t>
      </w:r>
    </w:p>
    <w:p>
      <w:pPr>
        <w:spacing w:line="580" w:lineRule="exact"/>
        <w:ind w:firstLine="640" w:firstLineChars="200"/>
        <w:rPr>
          <w:rFonts w:eastAsia="仿宋_GB2312"/>
          <w:sz w:val="32"/>
          <w:szCs w:val="32"/>
        </w:rPr>
      </w:pPr>
      <w:r>
        <w:rPr>
          <w:rFonts w:eastAsia="仿宋_GB2312"/>
          <w:sz w:val="32"/>
          <w:szCs w:val="32"/>
        </w:rPr>
        <w:t>（7）根据事件进展和调查处置情况，做好综合协调、信息汇总报送、新闻宣传、舆情处置等工作，适时报送和发布相关信息。</w:t>
      </w:r>
    </w:p>
    <w:p>
      <w:pPr>
        <w:spacing w:line="580" w:lineRule="exact"/>
        <w:ind w:firstLine="640" w:firstLineChars="200"/>
        <w:rPr>
          <w:rFonts w:eastAsia="楷体_GB2312"/>
          <w:sz w:val="32"/>
          <w:szCs w:val="32"/>
        </w:rPr>
      </w:pPr>
      <w:r>
        <w:rPr>
          <w:rFonts w:eastAsia="楷体_GB2312"/>
          <w:sz w:val="32"/>
          <w:szCs w:val="32"/>
        </w:rPr>
        <w:t>4.3  Ⅰ级（特别重大）应急响应</w:t>
      </w:r>
    </w:p>
    <w:p>
      <w:pPr>
        <w:spacing w:line="580" w:lineRule="exact"/>
        <w:ind w:firstLine="640" w:firstLineChars="200"/>
        <w:rPr>
          <w:rFonts w:eastAsia="仿宋_GB2312"/>
          <w:sz w:val="32"/>
          <w:szCs w:val="32"/>
        </w:rPr>
      </w:pPr>
      <w:r>
        <w:rPr>
          <w:rFonts w:eastAsia="仿宋_GB2312"/>
          <w:sz w:val="32"/>
          <w:szCs w:val="32"/>
        </w:rPr>
        <w:t>在国家应急指挥部的统一领导和指挥下开展应急处置工作。省政府及事件发生地政府按照国家药品安全突发事件应急预案要求采取相应处置措施。</w:t>
      </w:r>
    </w:p>
    <w:p>
      <w:pPr>
        <w:spacing w:line="580" w:lineRule="exact"/>
        <w:ind w:firstLine="640" w:firstLineChars="200"/>
        <w:rPr>
          <w:rFonts w:eastAsia="楷体_GB2312"/>
          <w:sz w:val="32"/>
          <w:szCs w:val="32"/>
        </w:rPr>
      </w:pPr>
      <w:r>
        <w:rPr>
          <w:rFonts w:eastAsia="楷体_GB2312"/>
          <w:sz w:val="32"/>
          <w:szCs w:val="32"/>
        </w:rPr>
        <w:t>4.4  Ⅱ级（重大）应急响应</w:t>
      </w:r>
    </w:p>
    <w:p>
      <w:pPr>
        <w:spacing w:line="580" w:lineRule="exact"/>
        <w:ind w:firstLine="640" w:firstLineChars="200"/>
        <w:rPr>
          <w:rFonts w:eastAsia="仿宋_GB2312"/>
          <w:sz w:val="32"/>
          <w:szCs w:val="32"/>
        </w:rPr>
      </w:pPr>
      <w:r>
        <w:rPr>
          <w:rFonts w:eastAsia="仿宋_GB2312"/>
          <w:sz w:val="32"/>
          <w:szCs w:val="32"/>
        </w:rPr>
        <w:t>在省应急指挥部的统一领导和指挥下开展应急处置工作。市政府及事件发生地政府按照省级药品安全突发事件应急预案要求采取相应处置措施。</w:t>
      </w:r>
    </w:p>
    <w:p>
      <w:pPr>
        <w:spacing w:line="580" w:lineRule="exact"/>
        <w:ind w:firstLine="640" w:firstLineChars="200"/>
        <w:rPr>
          <w:rFonts w:eastAsia="楷体_GB2312"/>
          <w:sz w:val="32"/>
          <w:szCs w:val="32"/>
        </w:rPr>
      </w:pPr>
      <w:r>
        <w:rPr>
          <w:rFonts w:eastAsia="楷体_GB2312"/>
          <w:sz w:val="32"/>
          <w:szCs w:val="32"/>
        </w:rPr>
        <w:t>4.5  Ⅲ级（较大）应急响应</w:t>
      </w:r>
    </w:p>
    <w:p>
      <w:pPr>
        <w:spacing w:line="580" w:lineRule="exact"/>
        <w:ind w:firstLine="640" w:firstLineChars="200"/>
        <w:rPr>
          <w:rFonts w:eastAsia="仿宋_GB2312"/>
          <w:sz w:val="32"/>
          <w:szCs w:val="32"/>
        </w:rPr>
      </w:pPr>
      <w:r>
        <w:rPr>
          <w:rFonts w:eastAsia="仿宋_GB2312"/>
          <w:sz w:val="32"/>
          <w:szCs w:val="32"/>
        </w:rPr>
        <w:t>在市应急指挥部的统一领导和指挥下开展应急处置工作。区政府按照市级药品安全突发事件应急预案要求采取相应处置措施。</w:t>
      </w:r>
    </w:p>
    <w:p>
      <w:pPr>
        <w:spacing w:line="580" w:lineRule="exact"/>
        <w:ind w:firstLine="640" w:firstLineChars="200"/>
        <w:rPr>
          <w:rFonts w:eastAsia="楷体_GB2312"/>
          <w:sz w:val="32"/>
          <w:szCs w:val="32"/>
        </w:rPr>
      </w:pPr>
      <w:r>
        <w:rPr>
          <w:rFonts w:eastAsia="楷体_GB2312"/>
          <w:sz w:val="32"/>
          <w:szCs w:val="32"/>
        </w:rPr>
        <w:t>4.6  Ⅳ级（一般）应急响应</w:t>
      </w:r>
    </w:p>
    <w:p>
      <w:pPr>
        <w:spacing w:line="580" w:lineRule="exact"/>
        <w:ind w:firstLine="640" w:firstLineChars="200"/>
        <w:rPr>
          <w:rFonts w:eastAsia="仿宋_GB2312"/>
          <w:sz w:val="32"/>
          <w:szCs w:val="32"/>
        </w:rPr>
      </w:pPr>
      <w:r>
        <w:rPr>
          <w:rFonts w:eastAsia="仿宋_GB2312"/>
          <w:sz w:val="32"/>
          <w:szCs w:val="32"/>
        </w:rPr>
        <w:t>4.6.1  应急响应启动</w:t>
      </w:r>
    </w:p>
    <w:p>
      <w:pPr>
        <w:spacing w:line="580" w:lineRule="exact"/>
        <w:ind w:firstLine="640" w:firstLineChars="200"/>
        <w:rPr>
          <w:rFonts w:eastAsia="仿宋_GB2312"/>
          <w:sz w:val="32"/>
          <w:szCs w:val="32"/>
        </w:rPr>
      </w:pPr>
      <w:r>
        <w:rPr>
          <w:rFonts w:eastAsia="仿宋_GB2312"/>
          <w:sz w:val="32"/>
          <w:szCs w:val="32"/>
        </w:rPr>
        <w:t>当事件达到或经分析研判认为事件有进一步升级为Ⅳ级（一般）应急响应趋势时，区指挥部办公室提出启动Ⅳ级响应的建议，确定应急响应的区域和范围，由区政府决定启动Ⅳ级响应。</w:t>
      </w:r>
    </w:p>
    <w:p>
      <w:pPr>
        <w:spacing w:line="580" w:lineRule="exact"/>
        <w:ind w:firstLine="640" w:firstLineChars="200"/>
        <w:rPr>
          <w:rFonts w:eastAsia="仿宋_GB2312"/>
          <w:sz w:val="32"/>
          <w:szCs w:val="32"/>
        </w:rPr>
      </w:pPr>
      <w:r>
        <w:rPr>
          <w:rFonts w:eastAsia="仿宋_GB2312"/>
          <w:sz w:val="32"/>
          <w:szCs w:val="32"/>
        </w:rPr>
        <w:t>4.6.2  响应措施</w:t>
      </w:r>
    </w:p>
    <w:p>
      <w:pPr>
        <w:spacing w:line="560" w:lineRule="exact"/>
        <w:ind w:firstLine="640" w:firstLineChars="200"/>
        <w:rPr>
          <w:rFonts w:eastAsia="仿宋_GB2312"/>
          <w:sz w:val="32"/>
          <w:szCs w:val="32"/>
        </w:rPr>
      </w:pPr>
      <w:r>
        <w:rPr>
          <w:rFonts w:eastAsia="仿宋_GB2312"/>
          <w:sz w:val="32"/>
          <w:szCs w:val="32"/>
        </w:rPr>
        <w:t>在区指挥部统一指挥组织下，各工作组按照分工开展相关工作。在先期处置工作的基础上，进一步采取以下措施：</w:t>
      </w:r>
    </w:p>
    <w:p>
      <w:pPr>
        <w:spacing w:line="560" w:lineRule="exact"/>
        <w:ind w:firstLine="640" w:firstLineChars="200"/>
        <w:rPr>
          <w:rFonts w:eastAsia="仿宋_GB2312"/>
          <w:sz w:val="32"/>
          <w:szCs w:val="32"/>
        </w:rPr>
      </w:pPr>
      <w:r>
        <w:rPr>
          <w:rFonts w:eastAsia="仿宋_GB2312"/>
          <w:sz w:val="32"/>
          <w:szCs w:val="32"/>
        </w:rPr>
        <w:t>（1）组织开展联防联控。综合协调组组织有关部门按照各自职责，协同做好应急处置工作。根据需要及时调集和征用区内各类应急资源参加应急处置工作。建立日报告制度，及时汇总有关情况，做好信息报告通报等，重大紧急情况应即时报送。</w:t>
      </w:r>
    </w:p>
    <w:p>
      <w:pPr>
        <w:spacing w:line="560" w:lineRule="exact"/>
        <w:ind w:firstLine="640" w:firstLineChars="200"/>
        <w:rPr>
          <w:rFonts w:eastAsia="仿宋_GB2312"/>
          <w:sz w:val="32"/>
          <w:szCs w:val="32"/>
        </w:rPr>
      </w:pPr>
      <w:r>
        <w:rPr>
          <w:rFonts w:eastAsia="仿宋_GB2312"/>
          <w:sz w:val="32"/>
          <w:szCs w:val="32"/>
        </w:rPr>
        <w:t>（2）组织开展医疗救治。医疗救治组集中优质医疗资源，全力做好医疗救治，并做好院内控制和个人防护。</w:t>
      </w:r>
    </w:p>
    <w:p>
      <w:pPr>
        <w:spacing w:line="560" w:lineRule="exact"/>
        <w:ind w:firstLine="640" w:firstLineChars="200"/>
        <w:rPr>
          <w:rFonts w:eastAsia="仿宋_GB2312"/>
          <w:sz w:val="32"/>
          <w:szCs w:val="32"/>
        </w:rPr>
      </w:pPr>
      <w:r>
        <w:rPr>
          <w:rFonts w:eastAsia="仿宋_GB2312"/>
          <w:sz w:val="32"/>
          <w:szCs w:val="32"/>
        </w:rPr>
        <w:t>（3）组织开展事件调查。事件调查组赴辖区内事件发生地开展事件调查和处置工作。如涉及有外地市或区产品的，视情况与外地市或区市场监管部门做好对接。</w:t>
      </w:r>
    </w:p>
    <w:p>
      <w:pPr>
        <w:spacing w:line="560" w:lineRule="exact"/>
        <w:ind w:firstLine="640" w:firstLineChars="200"/>
        <w:rPr>
          <w:rFonts w:eastAsia="仿宋_GB2312"/>
          <w:sz w:val="32"/>
          <w:szCs w:val="32"/>
        </w:rPr>
      </w:pPr>
      <w:r>
        <w:rPr>
          <w:rFonts w:eastAsia="仿宋_GB2312"/>
          <w:sz w:val="32"/>
          <w:szCs w:val="32"/>
        </w:rPr>
        <w:t>（4）组织实施危害控制。危害控制组组织对相关药品进行统计、溯源，组织药品经营企业紧急召回相关药品，对召回情况进行统计。根据情况组织对相关药品扩大抽检并送检。必要时委托其他有资质的检验机构进行平行检验。同时，做好其他危害控制相关工作。</w:t>
      </w:r>
    </w:p>
    <w:p>
      <w:pPr>
        <w:spacing w:line="560" w:lineRule="exact"/>
        <w:ind w:firstLine="640" w:firstLineChars="200"/>
        <w:rPr>
          <w:rFonts w:eastAsia="仿宋_GB2312"/>
          <w:sz w:val="32"/>
          <w:szCs w:val="32"/>
        </w:rPr>
      </w:pPr>
      <w:r>
        <w:rPr>
          <w:rFonts w:eastAsia="仿宋_GB2312"/>
          <w:sz w:val="32"/>
          <w:szCs w:val="32"/>
        </w:rPr>
        <w:t>（5）组织分析研判。根据调查进展情况，专家技术组对事件性质、原因进行研判，作出研判结论和意见。结论和意见及时报告区指挥部。</w:t>
      </w:r>
    </w:p>
    <w:p>
      <w:pPr>
        <w:spacing w:line="560" w:lineRule="exact"/>
        <w:ind w:firstLine="640" w:firstLineChars="200"/>
        <w:rPr>
          <w:rFonts w:eastAsia="仿宋_GB2312"/>
          <w:sz w:val="32"/>
          <w:szCs w:val="32"/>
        </w:rPr>
      </w:pPr>
      <w:r>
        <w:rPr>
          <w:rFonts w:eastAsia="仿宋_GB2312"/>
          <w:sz w:val="32"/>
          <w:szCs w:val="32"/>
        </w:rPr>
        <w:t>（6）组织舆论引导。新闻宣传组按照《中华人民共和国药品管理法》等相关规定，及时向社会发布药品安全事件及其调查处理等相关信息，并开展舆情处置，正确引导舆论，回应社会关切。</w:t>
      </w:r>
    </w:p>
    <w:p>
      <w:pPr>
        <w:spacing w:line="580" w:lineRule="exact"/>
        <w:ind w:firstLine="640" w:firstLineChars="200"/>
        <w:rPr>
          <w:rFonts w:eastAsia="仿宋_GB2312"/>
          <w:sz w:val="32"/>
          <w:szCs w:val="32"/>
        </w:rPr>
      </w:pPr>
      <w:r>
        <w:rPr>
          <w:rFonts w:eastAsia="仿宋_GB2312"/>
          <w:sz w:val="32"/>
          <w:szCs w:val="32"/>
        </w:rPr>
        <w:t>（7）维护社会稳定。社会稳定组保障商品供应、平抑物价，防止哄抢；严厉打击造谣传谣、哄抬物价、囤积居奇、制假售假等违法犯罪和扰乱社会治安的行为。</w:t>
      </w:r>
    </w:p>
    <w:p>
      <w:pPr>
        <w:spacing w:line="580" w:lineRule="exact"/>
        <w:ind w:firstLine="640" w:firstLineChars="200"/>
        <w:rPr>
          <w:rFonts w:eastAsia="仿宋_GB2312"/>
          <w:sz w:val="32"/>
          <w:szCs w:val="32"/>
        </w:rPr>
      </w:pPr>
      <w:r>
        <w:rPr>
          <w:rFonts w:eastAsia="仿宋_GB2312"/>
          <w:sz w:val="32"/>
          <w:szCs w:val="32"/>
        </w:rPr>
        <w:t>4.6.3  应急响应的调整</w:t>
      </w:r>
    </w:p>
    <w:p>
      <w:pPr>
        <w:spacing w:line="580" w:lineRule="exact"/>
        <w:ind w:firstLine="640" w:firstLineChars="200"/>
        <w:rPr>
          <w:rFonts w:eastAsia="仿宋_GB2312"/>
          <w:sz w:val="32"/>
          <w:szCs w:val="32"/>
        </w:rPr>
      </w:pPr>
      <w:r>
        <w:rPr>
          <w:rFonts w:eastAsia="仿宋_GB2312"/>
          <w:sz w:val="32"/>
          <w:szCs w:val="32"/>
        </w:rPr>
        <w:t>区指挥部办公室根据事件波及范围、危害程度、控制难度、发展态势等，及时提请决定启动应急响应的政府调整响应级别，避免响应不足或过度。</w:t>
      </w:r>
    </w:p>
    <w:p>
      <w:pPr>
        <w:spacing w:line="580" w:lineRule="exact"/>
        <w:ind w:firstLine="640" w:firstLineChars="200"/>
        <w:rPr>
          <w:rFonts w:eastAsia="仿宋_GB2312"/>
          <w:sz w:val="32"/>
          <w:szCs w:val="32"/>
        </w:rPr>
      </w:pPr>
      <w:r>
        <w:rPr>
          <w:rFonts w:eastAsia="仿宋_GB2312"/>
          <w:sz w:val="32"/>
          <w:szCs w:val="32"/>
        </w:rPr>
        <w:t>4.6.4  应急响应的终止</w:t>
      </w:r>
    </w:p>
    <w:p>
      <w:pPr>
        <w:spacing w:line="580" w:lineRule="exact"/>
        <w:ind w:firstLine="640" w:firstLineChars="200"/>
        <w:rPr>
          <w:rFonts w:eastAsia="仿宋_GB2312"/>
          <w:sz w:val="32"/>
          <w:szCs w:val="32"/>
        </w:rPr>
      </w:pPr>
      <w:r>
        <w:rPr>
          <w:rFonts w:eastAsia="仿宋_GB2312"/>
          <w:sz w:val="32"/>
          <w:szCs w:val="32"/>
        </w:rPr>
        <w:t>患者病情稳定或好转，没有新发类似病例，事件得到有效控制后，根据相关单位和专家研判结果，经区指挥部办公室提出终止应急响应的建议，由区政府作出终止应急响应的决定。</w:t>
      </w:r>
    </w:p>
    <w:p>
      <w:pPr>
        <w:spacing w:line="580" w:lineRule="exact"/>
        <w:ind w:firstLine="640" w:firstLineChars="200"/>
        <w:rPr>
          <w:rFonts w:eastAsia="仿宋_GB2312"/>
          <w:sz w:val="32"/>
          <w:szCs w:val="32"/>
        </w:rPr>
      </w:pPr>
      <w:r>
        <w:rPr>
          <w:rFonts w:eastAsia="仿宋_GB2312"/>
          <w:sz w:val="32"/>
          <w:szCs w:val="32"/>
        </w:rPr>
        <w:t>4.6.5  各级政府应及时将事件处置情况报告上一级政府。市政府将根据情况和需要，在全市范围内对事件所涉药品采取紧急控制措施，将事件情况通报有关区政府。</w:t>
      </w:r>
      <w:r>
        <w:rPr>
          <w:rFonts w:eastAsia="仿宋_GB2312"/>
          <w:sz w:val="32"/>
          <w:szCs w:val="32"/>
        </w:rPr>
        <w:tab/>
      </w:r>
    </w:p>
    <w:p>
      <w:pPr>
        <w:spacing w:line="580" w:lineRule="exact"/>
        <w:ind w:firstLine="640" w:firstLineChars="200"/>
        <w:rPr>
          <w:rFonts w:eastAsia="楷体_GB2312"/>
          <w:sz w:val="32"/>
          <w:szCs w:val="32"/>
        </w:rPr>
      </w:pPr>
      <w:r>
        <w:rPr>
          <w:rFonts w:eastAsia="楷体_GB2312"/>
          <w:sz w:val="32"/>
          <w:szCs w:val="32"/>
        </w:rPr>
        <w:t>4.7  信息发布与舆论引导</w:t>
      </w:r>
    </w:p>
    <w:p>
      <w:pPr>
        <w:spacing w:line="580" w:lineRule="exact"/>
        <w:ind w:firstLine="640" w:firstLineChars="200"/>
        <w:rPr>
          <w:rFonts w:eastAsia="仿宋_GB2312"/>
          <w:sz w:val="32"/>
          <w:szCs w:val="32"/>
        </w:rPr>
      </w:pPr>
      <w:r>
        <w:rPr>
          <w:rFonts w:eastAsia="仿宋_GB2312"/>
          <w:sz w:val="32"/>
          <w:szCs w:val="32"/>
        </w:rPr>
        <w:t>4.7.1  信息发布坚持实事求是、及时准确、科学公正的原则。</w:t>
      </w:r>
    </w:p>
    <w:p>
      <w:pPr>
        <w:spacing w:line="560" w:lineRule="exact"/>
        <w:ind w:firstLine="640" w:firstLineChars="200"/>
        <w:rPr>
          <w:rFonts w:eastAsia="仿宋_GB2312"/>
          <w:sz w:val="32"/>
          <w:szCs w:val="32"/>
        </w:rPr>
      </w:pPr>
      <w:r>
        <w:rPr>
          <w:rFonts w:eastAsia="仿宋_GB2312"/>
          <w:sz w:val="32"/>
          <w:szCs w:val="32"/>
        </w:rPr>
        <w:t>4.7.2  Ⅰ级（特别重大）药品安全事件信息由国家药品监管部门发布；Ⅱ级（重大）药品安全事件信息，经国家药品监管部门备案后，由省指挥部统一审核发布；Ⅲ级（较大）药品安全事件由市指挥部统一审核发布，并报省政府和省药监局备案；Ⅳ级（一般）药品安全事件由事发地区政府应急指挥机构统一审核发布，并报市政府和市市场监管部门备案。未经授权不得发布上述信息。另有特殊规定的，从其规定。</w:t>
      </w:r>
    </w:p>
    <w:p>
      <w:pPr>
        <w:spacing w:line="560" w:lineRule="exact"/>
        <w:ind w:firstLine="640" w:firstLineChars="200"/>
        <w:rPr>
          <w:rFonts w:eastAsia="仿宋_GB2312"/>
          <w:sz w:val="32"/>
          <w:szCs w:val="32"/>
        </w:rPr>
      </w:pPr>
      <w:r>
        <w:rPr>
          <w:rFonts w:eastAsia="仿宋_GB2312"/>
          <w:sz w:val="32"/>
          <w:szCs w:val="32"/>
        </w:rPr>
        <w:t>4.7.3  事件发生后，应在第一时间向社会发布信息，并根据事件发展情况做好后续信息发布工作。</w:t>
      </w:r>
    </w:p>
    <w:p>
      <w:pPr>
        <w:spacing w:line="560" w:lineRule="exact"/>
        <w:ind w:firstLine="640" w:firstLineChars="200"/>
        <w:rPr>
          <w:rFonts w:eastAsia="仿宋_GB2312"/>
          <w:sz w:val="32"/>
          <w:szCs w:val="32"/>
        </w:rPr>
      </w:pPr>
      <w:r>
        <w:rPr>
          <w:rFonts w:eastAsia="仿宋_GB2312"/>
          <w:sz w:val="32"/>
          <w:szCs w:val="32"/>
        </w:rPr>
        <w:t>4.7.4  信息发布形式以官方网站、政务新媒体等为主，必要时通过授权发布、组织报道、接受采访、举行新闻发布会等方式，做好舆论引导工作。</w:t>
      </w:r>
    </w:p>
    <w:p>
      <w:pPr>
        <w:spacing w:line="560" w:lineRule="exact"/>
        <w:ind w:firstLine="640" w:firstLineChars="200"/>
        <w:rPr>
          <w:rFonts w:eastAsia="黑体"/>
          <w:sz w:val="32"/>
          <w:szCs w:val="32"/>
        </w:rPr>
      </w:pPr>
      <w:r>
        <w:rPr>
          <w:rFonts w:eastAsia="黑体"/>
          <w:sz w:val="32"/>
          <w:szCs w:val="32"/>
        </w:rPr>
        <w:t>5  善后与总结</w:t>
      </w:r>
    </w:p>
    <w:p>
      <w:pPr>
        <w:spacing w:line="580" w:lineRule="exact"/>
        <w:ind w:firstLine="640" w:firstLineChars="200"/>
        <w:rPr>
          <w:rFonts w:eastAsia="楷体_GB2312"/>
          <w:sz w:val="32"/>
          <w:szCs w:val="32"/>
        </w:rPr>
      </w:pPr>
      <w:r>
        <w:rPr>
          <w:rFonts w:eastAsia="楷体_GB2312"/>
          <w:sz w:val="32"/>
          <w:szCs w:val="32"/>
        </w:rPr>
        <w:t>5.1  后续处置</w:t>
      </w:r>
    </w:p>
    <w:p>
      <w:pPr>
        <w:spacing w:line="560" w:lineRule="exact"/>
        <w:ind w:firstLine="640" w:firstLineChars="200"/>
        <w:rPr>
          <w:rFonts w:eastAsia="仿宋_GB2312"/>
          <w:sz w:val="32"/>
          <w:szCs w:val="32"/>
        </w:rPr>
      </w:pPr>
      <w:r>
        <w:rPr>
          <w:rFonts w:eastAsia="仿宋_GB2312"/>
          <w:sz w:val="32"/>
          <w:szCs w:val="32"/>
        </w:rPr>
        <w:t>根据调查和认定的结论，依法对相关责任单位和责任人员采取处理措施，涉嫌生产、销售假劣药品并构成犯罪的，及时移交公安机关并协助开展案件调查工作。</w:t>
      </w:r>
    </w:p>
    <w:p>
      <w:pPr>
        <w:spacing w:line="560" w:lineRule="exact"/>
        <w:ind w:firstLine="640" w:firstLineChars="200"/>
        <w:rPr>
          <w:rFonts w:eastAsia="仿宋_GB2312"/>
          <w:sz w:val="32"/>
          <w:szCs w:val="32"/>
        </w:rPr>
      </w:pPr>
      <w:r>
        <w:rPr>
          <w:rFonts w:eastAsia="仿宋_GB2312"/>
          <w:sz w:val="32"/>
          <w:szCs w:val="32"/>
        </w:rPr>
        <w:t>确定为药品质量导致的，对相关企业采取监管措施，需要处罚的，依法对涉事企业进行处罚，涉嫌犯罪的移交公安机关。</w:t>
      </w:r>
    </w:p>
    <w:p>
      <w:pPr>
        <w:spacing w:line="560" w:lineRule="exact"/>
        <w:ind w:firstLine="640" w:firstLineChars="200"/>
        <w:rPr>
          <w:rFonts w:eastAsia="仿宋_GB2312"/>
          <w:sz w:val="32"/>
          <w:szCs w:val="32"/>
        </w:rPr>
      </w:pPr>
      <w:r>
        <w:rPr>
          <w:rFonts w:eastAsia="仿宋_GB2312"/>
          <w:sz w:val="32"/>
          <w:szCs w:val="32"/>
        </w:rPr>
        <w:t>确定为临床用药不合理或错误导致的，对有关医疗卫生机构依法处理。</w:t>
      </w:r>
    </w:p>
    <w:p>
      <w:pPr>
        <w:spacing w:line="560" w:lineRule="exact"/>
        <w:ind w:firstLine="640" w:firstLineChars="200"/>
        <w:rPr>
          <w:rFonts w:eastAsia="仿宋_GB2312"/>
          <w:sz w:val="32"/>
          <w:szCs w:val="32"/>
        </w:rPr>
      </w:pPr>
      <w:r>
        <w:rPr>
          <w:rFonts w:eastAsia="仿宋_GB2312"/>
          <w:sz w:val="32"/>
          <w:szCs w:val="32"/>
        </w:rPr>
        <w:t>确定为新的严重药品不良反应或医疗器械不良事件的，提出调整生产和使用政策建议。</w:t>
      </w:r>
    </w:p>
    <w:p>
      <w:pPr>
        <w:spacing w:line="560" w:lineRule="exact"/>
        <w:ind w:firstLine="640" w:firstLineChars="200"/>
        <w:rPr>
          <w:rFonts w:eastAsia="仿宋_GB2312"/>
          <w:sz w:val="32"/>
          <w:szCs w:val="32"/>
        </w:rPr>
      </w:pPr>
      <w:r>
        <w:rPr>
          <w:rFonts w:eastAsia="仿宋_GB2312"/>
          <w:sz w:val="32"/>
          <w:szCs w:val="32"/>
        </w:rPr>
        <w:t>确定是其他原因引起的，按照有关规定处理。</w:t>
      </w:r>
    </w:p>
    <w:p>
      <w:pPr>
        <w:spacing w:line="580" w:lineRule="exact"/>
        <w:ind w:firstLine="640" w:firstLineChars="200"/>
        <w:rPr>
          <w:rFonts w:eastAsia="楷体_GB2312"/>
          <w:sz w:val="32"/>
          <w:szCs w:val="32"/>
        </w:rPr>
      </w:pPr>
      <w:r>
        <w:rPr>
          <w:rFonts w:eastAsia="楷体_GB2312"/>
          <w:sz w:val="32"/>
          <w:szCs w:val="32"/>
        </w:rPr>
        <w:t>5.2  补偿和补助</w:t>
      </w:r>
    </w:p>
    <w:p>
      <w:pPr>
        <w:spacing w:line="560" w:lineRule="exact"/>
        <w:ind w:firstLine="640" w:firstLineChars="200"/>
        <w:rPr>
          <w:rFonts w:eastAsia="仿宋_GB2312"/>
          <w:sz w:val="32"/>
          <w:szCs w:val="32"/>
        </w:rPr>
      </w:pPr>
      <w:r>
        <w:rPr>
          <w:rFonts w:eastAsia="仿宋_GB2312"/>
          <w:sz w:val="32"/>
          <w:szCs w:val="32"/>
        </w:rPr>
        <w:t>药品安全事件后，各级政府应组织有关部门对应急处置期间紧急调集、征用有关单位、企业、个人的物资和劳务进行合理评估，给予补偿。</w:t>
      </w:r>
    </w:p>
    <w:p>
      <w:pPr>
        <w:spacing w:line="580" w:lineRule="exact"/>
        <w:ind w:firstLine="640" w:firstLineChars="200"/>
        <w:rPr>
          <w:rFonts w:eastAsia="楷体_GB2312"/>
          <w:sz w:val="32"/>
          <w:szCs w:val="32"/>
        </w:rPr>
      </w:pPr>
      <w:r>
        <w:rPr>
          <w:rFonts w:eastAsia="楷体_GB2312"/>
          <w:sz w:val="32"/>
          <w:szCs w:val="32"/>
        </w:rPr>
        <w:t>5.3  总结评估</w:t>
      </w:r>
    </w:p>
    <w:p>
      <w:pPr>
        <w:spacing w:line="560" w:lineRule="exact"/>
        <w:ind w:firstLine="640" w:firstLineChars="200"/>
        <w:rPr>
          <w:rFonts w:eastAsia="仿宋_GB2312"/>
          <w:sz w:val="32"/>
          <w:szCs w:val="32"/>
        </w:rPr>
      </w:pPr>
      <w:r>
        <w:rPr>
          <w:rFonts w:eastAsia="仿宋_GB2312"/>
          <w:sz w:val="32"/>
          <w:szCs w:val="32"/>
        </w:rPr>
        <w:t>药品安全事件应急处置结束后，应及时对事件的应急处置工作进行总结评估，总结经验和教训，提出防范、整改措施和建议。</w:t>
      </w:r>
    </w:p>
    <w:p>
      <w:pPr>
        <w:spacing w:line="560" w:lineRule="exact"/>
        <w:ind w:firstLine="640" w:firstLineChars="200"/>
        <w:rPr>
          <w:rFonts w:eastAsia="黑体"/>
          <w:sz w:val="32"/>
          <w:szCs w:val="32"/>
        </w:rPr>
      </w:pPr>
      <w:r>
        <w:rPr>
          <w:rFonts w:eastAsia="黑体"/>
          <w:sz w:val="32"/>
          <w:szCs w:val="32"/>
        </w:rPr>
        <w:t>6  保障措施</w:t>
      </w:r>
    </w:p>
    <w:p>
      <w:pPr>
        <w:spacing w:line="580" w:lineRule="exact"/>
        <w:ind w:firstLine="640" w:firstLineChars="200"/>
        <w:rPr>
          <w:rFonts w:eastAsia="楷体_GB2312"/>
          <w:sz w:val="32"/>
          <w:szCs w:val="32"/>
        </w:rPr>
      </w:pPr>
      <w:r>
        <w:rPr>
          <w:rFonts w:eastAsia="楷体_GB2312"/>
          <w:sz w:val="32"/>
          <w:szCs w:val="32"/>
        </w:rPr>
        <w:t>6.1  组织保障</w:t>
      </w:r>
    </w:p>
    <w:p>
      <w:pPr>
        <w:spacing w:line="560" w:lineRule="exact"/>
        <w:ind w:firstLine="640" w:firstLineChars="200"/>
        <w:rPr>
          <w:rFonts w:eastAsia="仿宋_GB2312"/>
          <w:sz w:val="32"/>
          <w:szCs w:val="32"/>
        </w:rPr>
      </w:pPr>
      <w:r>
        <w:rPr>
          <w:rFonts w:eastAsia="仿宋_GB2312"/>
          <w:sz w:val="32"/>
          <w:szCs w:val="32"/>
        </w:rPr>
        <w:t>各级政府应建立健全高效、统一的组织保障体系，做好药品安全事件应对准备。应加强药品安全应急队伍建设，提高应急水平和能力，确保在药品安全事件发生后，能及时有效完成处置工作。</w:t>
      </w:r>
    </w:p>
    <w:p>
      <w:pPr>
        <w:spacing w:line="580" w:lineRule="exact"/>
        <w:ind w:firstLine="640" w:firstLineChars="200"/>
        <w:rPr>
          <w:rFonts w:eastAsia="楷体_GB2312"/>
          <w:sz w:val="32"/>
          <w:szCs w:val="32"/>
        </w:rPr>
      </w:pPr>
      <w:r>
        <w:rPr>
          <w:rFonts w:eastAsia="楷体_GB2312"/>
          <w:sz w:val="32"/>
          <w:szCs w:val="32"/>
        </w:rPr>
        <w:t>6.2  资金和物资保障</w:t>
      </w:r>
    </w:p>
    <w:p>
      <w:pPr>
        <w:spacing w:line="560" w:lineRule="exact"/>
        <w:ind w:firstLine="640" w:firstLineChars="200"/>
        <w:rPr>
          <w:rFonts w:eastAsia="仿宋_GB2312"/>
          <w:sz w:val="32"/>
          <w:szCs w:val="32"/>
        </w:rPr>
      </w:pPr>
      <w:r>
        <w:rPr>
          <w:rFonts w:eastAsia="仿宋_GB2312"/>
          <w:sz w:val="32"/>
          <w:szCs w:val="32"/>
        </w:rPr>
        <w:t>区发展改革部门负责按照规定做好药品安全事件应急基础设施项目立项审批工作。区财政部门负责保障药品安全事件应急处置所需经费。各级政府及相关部门负责保障药品安全事件应急处置所需车辆、通讯、救治等设施、设备和物资的储备与调用；使用储备物资后需及时补充。</w:t>
      </w:r>
    </w:p>
    <w:p>
      <w:pPr>
        <w:spacing w:line="580" w:lineRule="exact"/>
        <w:ind w:firstLine="640" w:firstLineChars="200"/>
        <w:rPr>
          <w:rFonts w:eastAsia="楷体_GB2312"/>
          <w:sz w:val="32"/>
          <w:szCs w:val="32"/>
        </w:rPr>
      </w:pPr>
      <w:r>
        <w:rPr>
          <w:rFonts w:eastAsia="楷体_GB2312"/>
          <w:sz w:val="32"/>
          <w:szCs w:val="32"/>
        </w:rPr>
        <w:t>6.3  医疗救治</w:t>
      </w:r>
    </w:p>
    <w:p>
      <w:pPr>
        <w:spacing w:line="560" w:lineRule="exact"/>
        <w:ind w:firstLine="640" w:firstLineChars="200"/>
        <w:rPr>
          <w:rFonts w:eastAsia="仿宋_GB2312"/>
          <w:sz w:val="32"/>
          <w:szCs w:val="32"/>
        </w:rPr>
      </w:pPr>
      <w:r>
        <w:rPr>
          <w:rFonts w:eastAsia="仿宋_GB2312"/>
          <w:sz w:val="32"/>
          <w:szCs w:val="32"/>
        </w:rPr>
        <w:t>药品安全事件造成人员伤害的，卫生健康行政部门应当立即启动紧急医学救援工作，组织医疗救治人员赶赴现场，开展救治。</w:t>
      </w:r>
    </w:p>
    <w:p>
      <w:pPr>
        <w:spacing w:line="580" w:lineRule="exact"/>
        <w:ind w:firstLine="640" w:firstLineChars="200"/>
        <w:rPr>
          <w:rFonts w:eastAsia="楷体_GB2312"/>
          <w:sz w:val="32"/>
          <w:szCs w:val="32"/>
        </w:rPr>
      </w:pPr>
      <w:r>
        <w:rPr>
          <w:rFonts w:eastAsia="楷体_GB2312"/>
          <w:sz w:val="32"/>
          <w:szCs w:val="32"/>
        </w:rPr>
        <w:t>6.4  信息和技术保障</w:t>
      </w:r>
    </w:p>
    <w:p>
      <w:pPr>
        <w:spacing w:line="560" w:lineRule="exact"/>
        <w:ind w:firstLine="640" w:firstLineChars="200"/>
        <w:rPr>
          <w:rFonts w:eastAsia="仿宋_GB2312"/>
          <w:sz w:val="32"/>
          <w:szCs w:val="32"/>
        </w:rPr>
      </w:pPr>
      <w:r>
        <w:rPr>
          <w:rFonts w:eastAsia="仿宋_GB2312"/>
          <w:sz w:val="32"/>
          <w:szCs w:val="32"/>
        </w:rPr>
        <w:t>各级政府应建立完善药品安全事件信息报告系统，畅通信息报告渠道，确保药品安全事件的及时报告与相关信息的及时收集。药品检查检验、安全风险监测评估、医疗卫生等应急处置专业技术机构，应结合本机构职责加强应急处置力量建设，提高快速应对能力和技术水平。加强药品安全事件监测、预警、预防和应急处置等技术研发，为药品安全事件应急处置提供技术保障。</w:t>
      </w:r>
    </w:p>
    <w:p>
      <w:pPr>
        <w:spacing w:line="580" w:lineRule="exact"/>
        <w:ind w:firstLine="640" w:firstLineChars="200"/>
        <w:rPr>
          <w:rFonts w:eastAsia="楷体_GB2312"/>
          <w:sz w:val="32"/>
          <w:szCs w:val="32"/>
        </w:rPr>
      </w:pPr>
      <w:r>
        <w:rPr>
          <w:rFonts w:eastAsia="楷体_GB2312"/>
          <w:sz w:val="32"/>
          <w:szCs w:val="32"/>
        </w:rPr>
        <w:t>6.5  培训演练和社会动员</w:t>
      </w:r>
    </w:p>
    <w:p>
      <w:pPr>
        <w:spacing w:line="560" w:lineRule="exact"/>
        <w:ind w:firstLine="640" w:firstLineChars="200"/>
        <w:rPr>
          <w:rFonts w:eastAsia="仿宋_GB2312"/>
          <w:sz w:val="32"/>
          <w:szCs w:val="32"/>
        </w:rPr>
      </w:pPr>
      <w:r>
        <w:rPr>
          <w:rFonts w:eastAsia="仿宋_GB2312"/>
          <w:sz w:val="32"/>
          <w:szCs w:val="32"/>
        </w:rPr>
        <w:t>各级政府组织开展药品安全事件应急培训和演练。根据实际需要，动员和组织社会力量协助参与应急处置，必要时依法调用企业及个人物资。在动用社会力量或企业、个人物资进行应急处置后，应当及时归还或给予补偿。各级政府应当组织有关部门、单位对社会公众广泛开展药品安全事件应急知识的普及教育，指导群众提高自我保护意识和科学应对能力。</w:t>
      </w:r>
    </w:p>
    <w:p>
      <w:pPr>
        <w:spacing w:line="560" w:lineRule="exact"/>
        <w:ind w:firstLine="640" w:firstLineChars="200"/>
        <w:rPr>
          <w:rFonts w:eastAsia="黑体"/>
          <w:sz w:val="32"/>
          <w:szCs w:val="32"/>
        </w:rPr>
      </w:pPr>
      <w:r>
        <w:rPr>
          <w:rFonts w:eastAsia="黑体"/>
          <w:sz w:val="32"/>
          <w:szCs w:val="32"/>
        </w:rPr>
        <w:t>7  附则</w:t>
      </w:r>
    </w:p>
    <w:p>
      <w:pPr>
        <w:spacing w:line="580" w:lineRule="exact"/>
        <w:ind w:firstLine="640" w:firstLineChars="200"/>
        <w:rPr>
          <w:rFonts w:eastAsia="楷体_GB2312"/>
          <w:sz w:val="32"/>
          <w:szCs w:val="32"/>
        </w:rPr>
      </w:pPr>
      <w:r>
        <w:rPr>
          <w:rFonts w:eastAsia="楷体_GB2312"/>
          <w:sz w:val="32"/>
          <w:szCs w:val="32"/>
        </w:rPr>
        <w:t>7.1  预案管理</w:t>
      </w:r>
    </w:p>
    <w:p>
      <w:pPr>
        <w:spacing w:line="560" w:lineRule="exact"/>
        <w:ind w:firstLine="640" w:firstLineChars="200"/>
        <w:rPr>
          <w:rFonts w:eastAsia="仿宋_GB2312"/>
          <w:sz w:val="32"/>
          <w:szCs w:val="32"/>
        </w:rPr>
      </w:pPr>
      <w:r>
        <w:rPr>
          <w:rFonts w:eastAsia="仿宋_GB2312"/>
          <w:sz w:val="32"/>
          <w:szCs w:val="32"/>
        </w:rPr>
        <w:t>药品上市许可持有人、药品生产企业、药品经营企业和医疗卫生机构等应当制定本单位的药品安全事件处置方案，并组织开展培训和应急演练。</w:t>
      </w:r>
    </w:p>
    <w:p>
      <w:pPr>
        <w:spacing w:line="580" w:lineRule="exact"/>
        <w:ind w:firstLine="640" w:firstLineChars="200"/>
        <w:rPr>
          <w:rFonts w:eastAsia="楷体_GB2312"/>
          <w:sz w:val="32"/>
          <w:szCs w:val="32"/>
        </w:rPr>
      </w:pPr>
      <w:r>
        <w:rPr>
          <w:rFonts w:eastAsia="楷体_GB2312"/>
          <w:sz w:val="32"/>
          <w:szCs w:val="32"/>
        </w:rPr>
        <w:t>7.2  预案解释</w:t>
      </w:r>
    </w:p>
    <w:p>
      <w:pPr>
        <w:spacing w:line="560" w:lineRule="exact"/>
        <w:ind w:firstLine="640" w:firstLineChars="200"/>
        <w:rPr>
          <w:rFonts w:eastAsia="仿宋_GB2312"/>
          <w:sz w:val="32"/>
          <w:szCs w:val="32"/>
        </w:rPr>
      </w:pPr>
      <w:r>
        <w:rPr>
          <w:rFonts w:eastAsia="仿宋_GB2312"/>
          <w:sz w:val="32"/>
          <w:szCs w:val="32"/>
        </w:rPr>
        <w:t>本预案由区市场监管局负责解释，并根据实施过程中发现的问题及时修订。</w:t>
      </w:r>
    </w:p>
    <w:p>
      <w:pPr>
        <w:spacing w:line="580" w:lineRule="exact"/>
        <w:ind w:firstLine="640" w:firstLineChars="200"/>
        <w:rPr>
          <w:rFonts w:eastAsia="楷体_GB2312"/>
          <w:sz w:val="32"/>
          <w:szCs w:val="32"/>
        </w:rPr>
      </w:pPr>
      <w:r>
        <w:rPr>
          <w:rFonts w:eastAsia="楷体_GB2312"/>
          <w:sz w:val="32"/>
          <w:szCs w:val="32"/>
        </w:rPr>
        <w:t>7.3  预案实施</w:t>
      </w:r>
    </w:p>
    <w:p>
      <w:pPr>
        <w:widowControl/>
        <w:spacing w:line="560" w:lineRule="exact"/>
        <w:ind w:firstLine="640" w:firstLineChars="200"/>
        <w:rPr>
          <w:rFonts w:eastAsia="仿宋_GB2312"/>
          <w:sz w:val="32"/>
          <w:szCs w:val="32"/>
        </w:rPr>
      </w:pPr>
      <w:r>
        <w:rPr>
          <w:rFonts w:eastAsia="仿宋_GB2312"/>
          <w:sz w:val="32"/>
          <w:szCs w:val="32"/>
        </w:rPr>
        <w:t>本预案自发布之日起施行，《周村区药品和医疗器械安全突发事件应急预案》同时废止。</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r>
        <w:rPr>
          <w:rFonts w:eastAsia="仿宋_GB2312"/>
          <w:sz w:val="32"/>
          <w:szCs w:val="32"/>
        </w:rPr>
        <w:t>附件：1．药品安全事件分级标准</w:t>
      </w:r>
    </w:p>
    <w:p>
      <w:pPr>
        <w:spacing w:line="580" w:lineRule="exact"/>
        <w:ind w:firstLine="640" w:firstLineChars="200"/>
        <w:rPr>
          <w:rFonts w:eastAsia="仿宋_GB2312"/>
          <w:sz w:val="32"/>
          <w:szCs w:val="32"/>
        </w:rPr>
      </w:pPr>
      <w:r>
        <w:rPr>
          <w:rFonts w:eastAsia="仿宋_GB2312"/>
          <w:sz w:val="32"/>
          <w:szCs w:val="32"/>
        </w:rPr>
        <w:t xml:space="preserve">      2．周村区药品安全事件相关部门职责</w:t>
      </w:r>
    </w:p>
    <w:p>
      <w:pPr>
        <w:spacing w:line="580" w:lineRule="exact"/>
        <w:ind w:firstLine="640" w:firstLineChars="200"/>
        <w:rPr>
          <w:rFonts w:eastAsia="仿宋_GB2312"/>
          <w:sz w:val="32"/>
          <w:szCs w:val="32"/>
        </w:rPr>
      </w:pPr>
    </w:p>
    <w:p>
      <w:pPr>
        <w:spacing w:line="580" w:lineRule="exact"/>
        <w:rPr>
          <w:rFonts w:eastAsia="黑体"/>
          <w:sz w:val="32"/>
          <w:szCs w:val="32"/>
        </w:rPr>
      </w:pPr>
    </w:p>
    <w:p>
      <w:pPr>
        <w:spacing w:line="580" w:lineRule="exact"/>
        <w:rPr>
          <w:rFonts w:eastAsia="黑体"/>
          <w:sz w:val="32"/>
          <w:szCs w:val="32"/>
        </w:rPr>
      </w:pPr>
      <w:r>
        <w:rPr>
          <w:rFonts w:eastAsia="黑体"/>
          <w:sz w:val="32"/>
          <w:szCs w:val="32"/>
        </w:rPr>
        <w:t>附件1</w:t>
      </w:r>
    </w:p>
    <w:p>
      <w:pPr>
        <w:spacing w:line="580" w:lineRule="exact"/>
        <w:rPr>
          <w:rFonts w:eastAsia="黑体"/>
          <w:sz w:val="32"/>
          <w:szCs w:val="32"/>
        </w:rPr>
      </w:pPr>
    </w:p>
    <w:p>
      <w:pPr>
        <w:spacing w:line="700" w:lineRule="exact"/>
        <w:jc w:val="center"/>
        <w:rPr>
          <w:rFonts w:eastAsia="方正小标宋简体"/>
          <w:sz w:val="44"/>
          <w:szCs w:val="44"/>
        </w:rPr>
      </w:pPr>
      <w:r>
        <w:rPr>
          <w:rFonts w:eastAsia="方正小标宋简体"/>
          <w:sz w:val="44"/>
          <w:szCs w:val="44"/>
        </w:rPr>
        <w:t>药品安全事件分级标准</w:t>
      </w:r>
    </w:p>
    <w:p>
      <w:pPr>
        <w:spacing w:line="580" w:lineRule="exact"/>
        <w:ind w:firstLine="640" w:firstLineChars="200"/>
        <w:rPr>
          <w:rFonts w:eastAsia="仿宋_GB2312"/>
          <w:sz w:val="32"/>
          <w:szCs w:val="32"/>
        </w:rPr>
      </w:pPr>
    </w:p>
    <w:p>
      <w:pPr>
        <w:spacing w:line="580" w:lineRule="exact"/>
        <w:ind w:firstLine="640" w:firstLineChars="200"/>
        <w:rPr>
          <w:rFonts w:eastAsia="黑体"/>
          <w:sz w:val="32"/>
          <w:szCs w:val="32"/>
        </w:rPr>
      </w:pPr>
      <w:r>
        <w:rPr>
          <w:rFonts w:eastAsia="黑体"/>
          <w:sz w:val="32"/>
          <w:szCs w:val="32"/>
        </w:rPr>
        <w:t>一、特别重大（Ⅰ级）药品安全事件，符合下列情形之一的与药品安全相关事件：</w:t>
      </w:r>
    </w:p>
    <w:p>
      <w:pPr>
        <w:spacing w:line="580" w:lineRule="exact"/>
        <w:ind w:firstLine="640" w:firstLineChars="200"/>
        <w:rPr>
          <w:rFonts w:eastAsia="仿宋_GB2312"/>
          <w:sz w:val="32"/>
          <w:szCs w:val="32"/>
        </w:rPr>
      </w:pPr>
      <w:r>
        <w:rPr>
          <w:rFonts w:eastAsia="仿宋_GB2312"/>
          <w:sz w:val="32"/>
          <w:szCs w:val="32"/>
        </w:rPr>
        <w:t>（一）在相对集中的时间和区域内，批号相对集中的同一药品引起临床表现相似的，且罕见的或非预期的不良事件的人数超过50人（含）；或者引起特别严重不良事件（可能对人体造成永久性伤残、对器官功能造成永久性损伤或危及生命）的人数超过10人（含）。</w:t>
      </w:r>
    </w:p>
    <w:p>
      <w:pPr>
        <w:spacing w:line="580" w:lineRule="exact"/>
        <w:ind w:firstLine="640" w:firstLineChars="200"/>
        <w:rPr>
          <w:rFonts w:eastAsia="仿宋_GB2312"/>
          <w:sz w:val="32"/>
          <w:szCs w:val="32"/>
        </w:rPr>
      </w:pPr>
      <w:r>
        <w:rPr>
          <w:rFonts w:eastAsia="仿宋_GB2312"/>
          <w:sz w:val="32"/>
          <w:szCs w:val="32"/>
        </w:rPr>
        <w:t>（二）同一批号药品短期内引起5人（含）以上患者死亡。</w:t>
      </w:r>
    </w:p>
    <w:p>
      <w:pPr>
        <w:spacing w:line="580" w:lineRule="exact"/>
        <w:ind w:firstLine="640" w:firstLineChars="200"/>
        <w:rPr>
          <w:rFonts w:eastAsia="仿宋_GB2312"/>
          <w:sz w:val="32"/>
          <w:szCs w:val="32"/>
        </w:rPr>
      </w:pPr>
      <w:r>
        <w:rPr>
          <w:rFonts w:eastAsia="仿宋_GB2312"/>
          <w:sz w:val="32"/>
          <w:szCs w:val="32"/>
        </w:rPr>
        <w:t>（三）短期内2个以上省（区、市）因同一药品发生Ⅱ级药品安全事件。</w:t>
      </w:r>
    </w:p>
    <w:p>
      <w:pPr>
        <w:spacing w:line="580" w:lineRule="exact"/>
        <w:ind w:firstLine="640" w:firstLineChars="200"/>
        <w:rPr>
          <w:rFonts w:eastAsia="仿宋_GB2312"/>
          <w:sz w:val="32"/>
          <w:szCs w:val="32"/>
        </w:rPr>
      </w:pPr>
      <w:r>
        <w:rPr>
          <w:rFonts w:eastAsia="仿宋_GB2312"/>
          <w:sz w:val="32"/>
          <w:szCs w:val="32"/>
        </w:rPr>
        <w:t>（四）其他危害特别严重的药品安全事件。</w:t>
      </w:r>
    </w:p>
    <w:p>
      <w:pPr>
        <w:spacing w:line="580" w:lineRule="exact"/>
        <w:ind w:firstLine="640" w:firstLineChars="200"/>
        <w:rPr>
          <w:rFonts w:eastAsia="黑体"/>
          <w:sz w:val="32"/>
          <w:szCs w:val="32"/>
        </w:rPr>
      </w:pPr>
      <w:r>
        <w:rPr>
          <w:rFonts w:eastAsia="黑体"/>
          <w:sz w:val="32"/>
          <w:szCs w:val="32"/>
        </w:rPr>
        <w:t>二、重大（Ⅱ级）药品安全事件，符合下列情形之一的与药品安全相关事件：</w:t>
      </w:r>
    </w:p>
    <w:p>
      <w:pPr>
        <w:spacing w:line="580" w:lineRule="exact"/>
        <w:ind w:firstLine="640" w:firstLineChars="200"/>
        <w:rPr>
          <w:rFonts w:eastAsia="仿宋_GB2312"/>
          <w:sz w:val="32"/>
          <w:szCs w:val="32"/>
        </w:rPr>
      </w:pPr>
      <w:r>
        <w:rPr>
          <w:rFonts w:eastAsia="仿宋_GB2312"/>
          <w:sz w:val="32"/>
          <w:szCs w:val="32"/>
        </w:rPr>
        <w:t>（一）在相对集中的时间和区域内，批号相对集中的同一药品引起临床表现相似的，且罕见的或非预期的不良事件的人数超过30人（含），少于50人；或者引起特别严重不良事件（可能对人体造成永久性伤残、对器官功能造成永久性损伤或危及生命）的人数超过5人（含）。</w:t>
      </w:r>
    </w:p>
    <w:p>
      <w:pPr>
        <w:spacing w:line="580" w:lineRule="exact"/>
        <w:ind w:firstLine="640" w:firstLineChars="200"/>
        <w:rPr>
          <w:rFonts w:eastAsia="仿宋_GB2312"/>
          <w:sz w:val="32"/>
          <w:szCs w:val="32"/>
        </w:rPr>
      </w:pPr>
      <w:r>
        <w:rPr>
          <w:rFonts w:eastAsia="仿宋_GB2312"/>
          <w:sz w:val="32"/>
          <w:szCs w:val="32"/>
        </w:rPr>
        <w:t>（二）同一批号药品短期内引起 2人以上、5人以下患者死亡，且在同一区域内同时出现其他类似病例。</w:t>
      </w:r>
    </w:p>
    <w:p>
      <w:pPr>
        <w:spacing w:line="580" w:lineRule="exact"/>
        <w:ind w:firstLine="640" w:firstLineChars="200"/>
        <w:rPr>
          <w:rFonts w:eastAsia="仿宋_GB2312"/>
          <w:sz w:val="32"/>
          <w:szCs w:val="32"/>
        </w:rPr>
      </w:pPr>
      <w:r>
        <w:rPr>
          <w:rFonts w:eastAsia="仿宋_GB2312"/>
          <w:sz w:val="32"/>
          <w:szCs w:val="32"/>
        </w:rPr>
        <w:t xml:space="preserve">（三）短期内省内 2 个以上市因同一药品发生Ⅲ级药品安全事件。 </w:t>
      </w:r>
    </w:p>
    <w:p>
      <w:pPr>
        <w:spacing w:line="580" w:lineRule="exact"/>
        <w:ind w:firstLine="640" w:firstLineChars="200"/>
        <w:rPr>
          <w:rFonts w:eastAsia="仿宋_GB2312"/>
          <w:sz w:val="32"/>
          <w:szCs w:val="32"/>
        </w:rPr>
      </w:pPr>
      <w:r>
        <w:rPr>
          <w:rFonts w:eastAsia="仿宋_GB2312"/>
          <w:sz w:val="32"/>
          <w:szCs w:val="32"/>
        </w:rPr>
        <w:t>（四）其他危害严重的重大药品安全事件。</w:t>
      </w:r>
    </w:p>
    <w:p>
      <w:pPr>
        <w:spacing w:line="580" w:lineRule="exact"/>
        <w:ind w:firstLine="640" w:firstLineChars="200"/>
        <w:rPr>
          <w:rFonts w:eastAsia="黑体"/>
          <w:sz w:val="32"/>
          <w:szCs w:val="32"/>
        </w:rPr>
      </w:pPr>
      <w:r>
        <w:rPr>
          <w:rFonts w:eastAsia="黑体"/>
          <w:sz w:val="32"/>
          <w:szCs w:val="32"/>
        </w:rPr>
        <w:t>三、较大（Ⅲ级）药品安全事件，符合下列情形之一的与药品安全相关事件：</w:t>
      </w:r>
    </w:p>
    <w:p>
      <w:pPr>
        <w:spacing w:line="580" w:lineRule="exact"/>
        <w:ind w:firstLine="640" w:firstLineChars="200"/>
        <w:rPr>
          <w:rFonts w:eastAsia="仿宋_GB2312"/>
          <w:sz w:val="32"/>
          <w:szCs w:val="32"/>
        </w:rPr>
      </w:pPr>
      <w:r>
        <w:rPr>
          <w:rFonts w:eastAsia="仿宋_GB2312"/>
          <w:sz w:val="32"/>
          <w:szCs w:val="32"/>
        </w:rPr>
        <w:t>（一）在相对集中的时间和区域内，批号相对集中的同一药品引起临床表现相似的，且罕见的或非预期的不良事件的人数超过20人（含），少于30人；或者引起特别严重不良事件（可能对人体造成永久性伤残、对器官功能造成永久性损伤或危及生命）的人数超过3人（含）。</w:t>
      </w:r>
    </w:p>
    <w:p>
      <w:pPr>
        <w:spacing w:line="580" w:lineRule="exact"/>
        <w:ind w:firstLine="640" w:firstLineChars="200"/>
        <w:rPr>
          <w:rFonts w:eastAsia="仿宋_GB2312"/>
          <w:sz w:val="32"/>
          <w:szCs w:val="32"/>
        </w:rPr>
      </w:pPr>
      <w:r>
        <w:rPr>
          <w:rFonts w:eastAsia="仿宋_GB2312"/>
          <w:sz w:val="32"/>
          <w:szCs w:val="32"/>
        </w:rPr>
        <w:t>（二）同一批号药品短期内引起2人（含）以下患者死亡，且在同一区域内同时出现其他类似病例。</w:t>
      </w:r>
    </w:p>
    <w:p>
      <w:pPr>
        <w:spacing w:line="580" w:lineRule="exact"/>
        <w:ind w:firstLine="640" w:firstLineChars="200"/>
        <w:rPr>
          <w:rFonts w:eastAsia="仿宋_GB2312"/>
          <w:sz w:val="32"/>
          <w:szCs w:val="32"/>
        </w:rPr>
      </w:pPr>
      <w:r>
        <w:rPr>
          <w:rFonts w:eastAsia="仿宋_GB2312"/>
          <w:sz w:val="32"/>
          <w:szCs w:val="32"/>
        </w:rPr>
        <w:t>（三）短期内1个市内2个以上县（区）因同一药品发生Ⅳ级药品安全事件。</w:t>
      </w:r>
    </w:p>
    <w:p>
      <w:pPr>
        <w:spacing w:line="580" w:lineRule="exact"/>
        <w:ind w:firstLine="640" w:firstLineChars="200"/>
        <w:rPr>
          <w:rFonts w:eastAsia="仿宋_GB2312"/>
          <w:sz w:val="32"/>
          <w:szCs w:val="32"/>
        </w:rPr>
      </w:pPr>
      <w:r>
        <w:rPr>
          <w:rFonts w:eastAsia="仿宋_GB2312"/>
          <w:sz w:val="32"/>
          <w:szCs w:val="32"/>
        </w:rPr>
        <w:t>（四）其他危害较大的药品安全事件。</w:t>
      </w:r>
    </w:p>
    <w:p>
      <w:pPr>
        <w:spacing w:line="580" w:lineRule="exact"/>
        <w:ind w:firstLine="640" w:firstLineChars="200"/>
        <w:rPr>
          <w:rFonts w:eastAsia="黑体"/>
          <w:sz w:val="32"/>
          <w:szCs w:val="32"/>
        </w:rPr>
      </w:pPr>
      <w:r>
        <w:rPr>
          <w:rFonts w:eastAsia="黑体"/>
          <w:sz w:val="32"/>
          <w:szCs w:val="32"/>
        </w:rPr>
        <w:t>四、一般（Ⅳ级）药品安全事件，符合下列情形之一的与药品安全相关事件：</w:t>
      </w:r>
    </w:p>
    <w:p>
      <w:pPr>
        <w:spacing w:line="580" w:lineRule="exact"/>
        <w:ind w:firstLine="640" w:firstLineChars="200"/>
        <w:rPr>
          <w:rFonts w:eastAsia="仿宋_GB2312"/>
          <w:sz w:val="32"/>
          <w:szCs w:val="32"/>
        </w:rPr>
      </w:pPr>
      <w:r>
        <w:rPr>
          <w:rFonts w:eastAsia="仿宋_GB2312"/>
          <w:sz w:val="32"/>
          <w:szCs w:val="32"/>
        </w:rPr>
        <w:t>（一）在相对集中的时间和区域内，批号相对集中的同一药品引起临床表现相似的，且罕见的或非预期的不良事件的人数超过10人（含），少于20人；或者引起特别严重不良事件（可能对人体造成永久性伤残、对器官功能造成永久性损伤或危及生命）的人数超过2人（含）。</w:t>
      </w:r>
    </w:p>
    <w:p>
      <w:pPr>
        <w:spacing w:line="580" w:lineRule="exact"/>
        <w:ind w:firstLine="640" w:firstLineChars="200"/>
        <w:rPr>
          <w:rFonts w:eastAsia="仿宋_GB2312"/>
          <w:sz w:val="32"/>
          <w:szCs w:val="32"/>
        </w:rPr>
      </w:pPr>
      <w:r>
        <w:rPr>
          <w:rFonts w:eastAsia="仿宋_GB2312"/>
          <w:sz w:val="32"/>
          <w:szCs w:val="32"/>
        </w:rPr>
        <w:t>（二）其他一般药品安全事件。</w:t>
      </w:r>
    </w:p>
    <w:p>
      <w:pPr>
        <w:spacing w:line="580" w:lineRule="exact"/>
        <w:ind w:firstLine="640" w:firstLineChars="200"/>
        <w:rPr>
          <w:rFonts w:eastAsia="仿宋_GB2312"/>
          <w:sz w:val="32"/>
          <w:szCs w:val="32"/>
        </w:rPr>
      </w:pPr>
      <w:r>
        <w:rPr>
          <w:rFonts w:eastAsia="仿宋_GB2312"/>
          <w:sz w:val="32"/>
          <w:szCs w:val="32"/>
        </w:rPr>
        <w:t>注：参照省药品安全事件分级标准制定。</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rPr>
          <w:rFonts w:eastAsia="黑体"/>
          <w:szCs w:val="32"/>
        </w:rPr>
      </w:pPr>
    </w:p>
    <w:p>
      <w:pPr>
        <w:spacing w:line="580" w:lineRule="exact"/>
        <w:rPr>
          <w:rFonts w:eastAsia="黑体"/>
          <w:sz w:val="32"/>
          <w:szCs w:val="32"/>
        </w:rPr>
      </w:pPr>
      <w:r>
        <w:rPr>
          <w:rFonts w:eastAsia="黑体"/>
          <w:sz w:val="32"/>
          <w:szCs w:val="32"/>
        </w:rPr>
        <w:t>附件2</w:t>
      </w:r>
    </w:p>
    <w:p>
      <w:pPr>
        <w:spacing w:line="580" w:lineRule="exact"/>
        <w:rPr>
          <w:rFonts w:eastAsia="黑体"/>
          <w:sz w:val="32"/>
          <w:szCs w:val="32"/>
        </w:rPr>
      </w:pPr>
    </w:p>
    <w:p>
      <w:pPr>
        <w:spacing w:line="700" w:lineRule="exact"/>
        <w:jc w:val="center"/>
        <w:rPr>
          <w:rFonts w:eastAsia="仿宋"/>
          <w:szCs w:val="32"/>
        </w:rPr>
      </w:pPr>
      <w:r>
        <w:rPr>
          <w:rFonts w:eastAsia="方正小标宋简体"/>
          <w:sz w:val="44"/>
          <w:szCs w:val="44"/>
        </w:rPr>
        <w:t>周村区药品安全事件相关部门职责</w:t>
      </w: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黑体"/>
          <w:sz w:val="32"/>
          <w:szCs w:val="32"/>
        </w:rPr>
        <w:t>区委宣传部：</w:t>
      </w:r>
      <w:r>
        <w:rPr>
          <w:rFonts w:eastAsia="仿宋_GB2312"/>
          <w:sz w:val="32"/>
          <w:szCs w:val="32"/>
        </w:rPr>
        <w:t>负责指导、协调药品安全事件应急处置的信息发布、宣传报道和舆论引导工作。</w:t>
      </w:r>
    </w:p>
    <w:p>
      <w:pPr>
        <w:spacing w:line="560" w:lineRule="exact"/>
        <w:ind w:firstLine="640" w:firstLineChars="200"/>
        <w:rPr>
          <w:rFonts w:eastAsia="仿宋_GB2312"/>
          <w:sz w:val="32"/>
          <w:szCs w:val="32"/>
        </w:rPr>
      </w:pPr>
      <w:r>
        <w:rPr>
          <w:rFonts w:eastAsia="黑体"/>
          <w:sz w:val="32"/>
          <w:szCs w:val="32"/>
        </w:rPr>
        <w:t>区委统战部：</w:t>
      </w:r>
      <w:r>
        <w:rPr>
          <w:rFonts w:eastAsia="仿宋_GB2312"/>
          <w:sz w:val="32"/>
          <w:szCs w:val="32"/>
        </w:rPr>
        <w:t>负责协调指导药品安全事件中涉台港澳人员的处置工作。</w:t>
      </w:r>
    </w:p>
    <w:p>
      <w:pPr>
        <w:spacing w:line="560" w:lineRule="exact"/>
        <w:ind w:firstLine="640" w:firstLineChars="200"/>
        <w:rPr>
          <w:rFonts w:eastAsia="仿宋_GB2312"/>
          <w:sz w:val="32"/>
          <w:szCs w:val="32"/>
        </w:rPr>
      </w:pPr>
      <w:r>
        <w:rPr>
          <w:rFonts w:eastAsia="黑体"/>
          <w:sz w:val="32"/>
          <w:szCs w:val="32"/>
        </w:rPr>
        <w:t>区委网信办：</w:t>
      </w:r>
      <w:r>
        <w:rPr>
          <w:rFonts w:eastAsia="仿宋_GB2312"/>
          <w:sz w:val="32"/>
          <w:szCs w:val="32"/>
        </w:rPr>
        <w:t>负责指导药品安全事件网络媒体舆论引导和网络舆情监控工作。</w:t>
      </w:r>
    </w:p>
    <w:p>
      <w:pPr>
        <w:spacing w:line="560" w:lineRule="exact"/>
        <w:ind w:firstLine="640" w:firstLineChars="200"/>
        <w:rPr>
          <w:rFonts w:eastAsia="仿宋_GB2312"/>
          <w:sz w:val="32"/>
          <w:szCs w:val="32"/>
        </w:rPr>
      </w:pPr>
      <w:r>
        <w:rPr>
          <w:rFonts w:eastAsia="黑体"/>
          <w:sz w:val="32"/>
          <w:szCs w:val="32"/>
        </w:rPr>
        <w:t>区发展改革局：</w:t>
      </w:r>
      <w:r>
        <w:rPr>
          <w:rFonts w:eastAsia="仿宋_GB2312"/>
          <w:sz w:val="32"/>
          <w:szCs w:val="32"/>
        </w:rPr>
        <w:t>负责组织协调药品安全事件应急处置期间煤、电、油、气以及其他重要物资的紧急调度、能源供应保障和交通运输综合协调；按规定做好区级药品安全事件应急基础设施项目立项审批工作；指导区发展改革部门做好本级药品安全事件应急处置基础设施项目审批等工作。负责药品安全事件涉及的区级生活类救灾物资的收储管理工作。</w:t>
      </w:r>
    </w:p>
    <w:p>
      <w:pPr>
        <w:spacing w:line="560" w:lineRule="exact"/>
        <w:ind w:firstLine="640" w:firstLineChars="200"/>
        <w:rPr>
          <w:rFonts w:eastAsia="仿宋_GB2312"/>
          <w:sz w:val="32"/>
          <w:szCs w:val="32"/>
        </w:rPr>
      </w:pPr>
      <w:r>
        <w:rPr>
          <w:rFonts w:eastAsia="黑体"/>
          <w:sz w:val="32"/>
          <w:szCs w:val="32"/>
        </w:rPr>
        <w:t>区教育和体育局：</w:t>
      </w:r>
      <w:r>
        <w:rPr>
          <w:rFonts w:eastAsia="仿宋_GB2312"/>
          <w:sz w:val="32"/>
          <w:szCs w:val="32"/>
        </w:rPr>
        <w:t>负责加强在校师生员工对药品安全事件预防控制措施的宣传教育，提高其自我防护意识和能力。</w:t>
      </w:r>
    </w:p>
    <w:p>
      <w:pPr>
        <w:spacing w:line="560" w:lineRule="exact"/>
        <w:ind w:firstLine="640" w:firstLineChars="200"/>
        <w:rPr>
          <w:rFonts w:eastAsia="仿宋_GB2312"/>
          <w:sz w:val="32"/>
          <w:szCs w:val="32"/>
        </w:rPr>
      </w:pPr>
      <w:r>
        <w:rPr>
          <w:rFonts w:eastAsia="黑体"/>
          <w:sz w:val="32"/>
          <w:szCs w:val="32"/>
        </w:rPr>
        <w:t>区科技局：</w:t>
      </w:r>
      <w:r>
        <w:rPr>
          <w:rFonts w:eastAsia="仿宋_GB2312"/>
          <w:sz w:val="32"/>
          <w:szCs w:val="32"/>
        </w:rPr>
        <w:t>负责组织科研力量，对药品安全事件应急处置技术开展科研攻关，协调解决检测技术、药物研发和应用中的科技问题。</w:t>
      </w:r>
    </w:p>
    <w:p>
      <w:pPr>
        <w:spacing w:line="560" w:lineRule="exact"/>
        <w:ind w:firstLine="640" w:firstLineChars="200"/>
        <w:rPr>
          <w:rFonts w:eastAsia="仿宋_GB2312"/>
          <w:sz w:val="32"/>
          <w:szCs w:val="32"/>
        </w:rPr>
      </w:pPr>
      <w:r>
        <w:rPr>
          <w:rFonts w:eastAsia="黑体"/>
          <w:sz w:val="32"/>
          <w:szCs w:val="32"/>
        </w:rPr>
        <w:t>区工业和信息化局：</w:t>
      </w:r>
      <w:r>
        <w:rPr>
          <w:rFonts w:eastAsia="仿宋_GB2312"/>
          <w:sz w:val="32"/>
          <w:szCs w:val="32"/>
        </w:rPr>
        <w:t>负责组织协调药品安全事件应急处置所需物资的生产供应工作。</w:t>
      </w:r>
    </w:p>
    <w:p>
      <w:pPr>
        <w:spacing w:line="580" w:lineRule="exact"/>
        <w:ind w:firstLine="640" w:firstLineChars="200"/>
        <w:rPr>
          <w:rFonts w:eastAsia="仿宋_GB2312"/>
          <w:sz w:val="32"/>
          <w:szCs w:val="32"/>
        </w:rPr>
      </w:pPr>
      <w:r>
        <w:rPr>
          <w:rFonts w:eastAsia="黑体"/>
          <w:sz w:val="32"/>
          <w:szCs w:val="32"/>
        </w:rPr>
        <w:t>区公安分局：</w:t>
      </w:r>
      <w:r>
        <w:rPr>
          <w:rFonts w:eastAsia="仿宋_GB2312"/>
          <w:sz w:val="32"/>
          <w:szCs w:val="32"/>
        </w:rPr>
        <w:t>负责组织、指导、协调药品安全事件涉嫌犯罪案件的侦查和先期处置及治安维护工作。</w:t>
      </w:r>
    </w:p>
    <w:p>
      <w:pPr>
        <w:spacing w:line="580" w:lineRule="exact"/>
        <w:ind w:firstLine="640" w:firstLineChars="200"/>
        <w:rPr>
          <w:rFonts w:eastAsia="仿宋_GB2312"/>
          <w:sz w:val="32"/>
          <w:szCs w:val="32"/>
        </w:rPr>
      </w:pPr>
      <w:r>
        <w:rPr>
          <w:rFonts w:eastAsia="黑体"/>
          <w:sz w:val="32"/>
          <w:szCs w:val="32"/>
        </w:rPr>
        <w:t>区司法局：</w:t>
      </w:r>
      <w:r>
        <w:rPr>
          <w:rFonts w:eastAsia="仿宋_GB2312"/>
          <w:sz w:val="32"/>
          <w:szCs w:val="32"/>
        </w:rPr>
        <w:t>负责药品安全事件应急处置相关行政规范性文件的合法性审核；组织开展矛盾纠纷排查化解；负责协调戒毒场所药品安全事件应急处置工作。</w:t>
      </w:r>
    </w:p>
    <w:p>
      <w:pPr>
        <w:spacing w:line="580" w:lineRule="exact"/>
        <w:ind w:firstLine="640" w:firstLineChars="200"/>
        <w:rPr>
          <w:rFonts w:eastAsia="仿宋_GB2312"/>
          <w:sz w:val="32"/>
          <w:szCs w:val="32"/>
        </w:rPr>
      </w:pPr>
      <w:r>
        <w:rPr>
          <w:rFonts w:eastAsia="黑体"/>
          <w:sz w:val="32"/>
          <w:szCs w:val="32"/>
        </w:rPr>
        <w:t>区财政局：</w:t>
      </w:r>
      <w:r>
        <w:rPr>
          <w:rFonts w:eastAsia="仿宋_GB2312"/>
          <w:sz w:val="32"/>
          <w:szCs w:val="32"/>
        </w:rPr>
        <w:t>负责做好需由区财政承担的药品安全事件经费保障工作。</w:t>
      </w:r>
    </w:p>
    <w:p>
      <w:pPr>
        <w:spacing w:line="580" w:lineRule="exact"/>
        <w:ind w:firstLine="640" w:firstLineChars="200"/>
        <w:rPr>
          <w:rFonts w:eastAsia="仿宋_GB2312"/>
          <w:sz w:val="32"/>
          <w:szCs w:val="32"/>
        </w:rPr>
      </w:pPr>
      <w:r>
        <w:rPr>
          <w:rFonts w:eastAsia="黑体"/>
          <w:sz w:val="32"/>
          <w:szCs w:val="32"/>
        </w:rPr>
        <w:t>区人力资源社会保障局：</w:t>
      </w:r>
      <w:r>
        <w:rPr>
          <w:rFonts w:eastAsia="仿宋_GB2312"/>
          <w:sz w:val="32"/>
          <w:szCs w:val="32"/>
        </w:rPr>
        <w:t>负责指导落实工作人员所属单位参与药品安全事件应急处置工作人员的工伤保险。</w:t>
      </w:r>
    </w:p>
    <w:p>
      <w:pPr>
        <w:spacing w:line="580" w:lineRule="exact"/>
        <w:ind w:firstLine="640" w:firstLineChars="200"/>
        <w:rPr>
          <w:rFonts w:eastAsia="仿宋_GB2312"/>
          <w:sz w:val="32"/>
          <w:szCs w:val="32"/>
        </w:rPr>
      </w:pPr>
      <w:r>
        <w:rPr>
          <w:rFonts w:eastAsia="黑体"/>
          <w:sz w:val="32"/>
          <w:szCs w:val="32"/>
        </w:rPr>
        <w:t>区生态环境分局：</w:t>
      </w:r>
      <w:r>
        <w:rPr>
          <w:rFonts w:eastAsia="仿宋_GB2312"/>
          <w:sz w:val="32"/>
          <w:szCs w:val="32"/>
        </w:rPr>
        <w:t>负责与放射性药物有关的辐射安全与防护的监督管理和应急处置；负责医疗废物收集、运送、贮存、处置等环境污染防治监督管理工作。</w:t>
      </w:r>
    </w:p>
    <w:p>
      <w:pPr>
        <w:spacing w:line="580" w:lineRule="exact"/>
        <w:ind w:firstLine="640" w:firstLineChars="200"/>
        <w:rPr>
          <w:rFonts w:eastAsia="仿宋_GB2312"/>
          <w:sz w:val="32"/>
          <w:szCs w:val="32"/>
        </w:rPr>
      </w:pPr>
      <w:r>
        <w:rPr>
          <w:rFonts w:eastAsia="黑体"/>
          <w:sz w:val="32"/>
          <w:szCs w:val="32"/>
        </w:rPr>
        <w:t>区交通运输局：</w:t>
      </w:r>
      <w:r>
        <w:rPr>
          <w:rFonts w:eastAsia="仿宋_GB2312"/>
          <w:sz w:val="32"/>
          <w:szCs w:val="32"/>
        </w:rPr>
        <w:t>组织协调公路、水路交通运输保障工作，保障药品安全事件应急处置人员和药品、医疗卫生设备和器材、快速检验检测技术和试剂等的优先快速通行。</w:t>
      </w:r>
    </w:p>
    <w:p>
      <w:pPr>
        <w:spacing w:line="580" w:lineRule="exact"/>
        <w:ind w:firstLine="640" w:firstLineChars="200"/>
        <w:rPr>
          <w:rFonts w:eastAsia="仿宋_GB2312"/>
          <w:sz w:val="32"/>
          <w:szCs w:val="32"/>
        </w:rPr>
      </w:pPr>
      <w:r>
        <w:rPr>
          <w:rFonts w:eastAsia="黑体"/>
          <w:sz w:val="32"/>
          <w:szCs w:val="32"/>
        </w:rPr>
        <w:t>区农业农村局：</w:t>
      </w:r>
      <w:r>
        <w:rPr>
          <w:rFonts w:eastAsia="仿宋_GB2312"/>
          <w:sz w:val="32"/>
          <w:szCs w:val="32"/>
        </w:rPr>
        <w:t>负责中药材从种植养殖环节到进入批发</w:t>
      </w:r>
      <w:r>
        <w:rPr>
          <w:rFonts w:hint="eastAsia" w:eastAsia="仿宋_GB2312"/>
          <w:sz w:val="32"/>
          <w:szCs w:val="32"/>
        </w:rPr>
        <w:t>市</w:t>
      </w:r>
      <w:r>
        <w:rPr>
          <w:rFonts w:eastAsia="仿宋_GB2312"/>
          <w:sz w:val="32"/>
          <w:szCs w:val="32"/>
        </w:rPr>
        <w:t>场、零售</w:t>
      </w:r>
      <w:r>
        <w:rPr>
          <w:rFonts w:hint="eastAsia" w:eastAsia="仿宋_GB2312"/>
          <w:sz w:val="32"/>
          <w:szCs w:val="32"/>
        </w:rPr>
        <w:t>市</w:t>
      </w:r>
      <w:r>
        <w:rPr>
          <w:rFonts w:eastAsia="仿宋_GB2312"/>
          <w:sz w:val="32"/>
          <w:szCs w:val="32"/>
        </w:rPr>
        <w:t>场、生产加工企业前的质量安全应急处置；依法开展中药材种植养殖环节质量安全监测和质量安全风险评估、预警分析和信息发布，向有关部门通报中药材质量安全风险信息。</w:t>
      </w:r>
    </w:p>
    <w:p>
      <w:pPr>
        <w:spacing w:line="580" w:lineRule="exact"/>
        <w:ind w:firstLine="640" w:firstLineChars="200"/>
        <w:rPr>
          <w:rFonts w:eastAsia="仿宋_GB2312"/>
          <w:sz w:val="32"/>
          <w:szCs w:val="32"/>
        </w:rPr>
      </w:pPr>
      <w:r>
        <w:rPr>
          <w:rFonts w:eastAsia="黑体"/>
          <w:sz w:val="32"/>
          <w:szCs w:val="32"/>
        </w:rPr>
        <w:t>区商务局（区外事办）：</w:t>
      </w:r>
      <w:r>
        <w:rPr>
          <w:rFonts w:eastAsia="仿宋_GB2312"/>
          <w:sz w:val="32"/>
          <w:szCs w:val="32"/>
        </w:rPr>
        <w:t>负责组织药品安全事件生活必需品</w:t>
      </w:r>
      <w:r>
        <w:rPr>
          <w:rFonts w:hint="eastAsia" w:eastAsia="仿宋_GB2312"/>
          <w:sz w:val="32"/>
          <w:szCs w:val="32"/>
        </w:rPr>
        <w:t>市</w:t>
      </w:r>
      <w:r>
        <w:rPr>
          <w:rFonts w:eastAsia="仿宋_GB2312"/>
          <w:sz w:val="32"/>
          <w:szCs w:val="32"/>
        </w:rPr>
        <w:t>场供应，负责建立健全生活必需品、重要消费品</w:t>
      </w:r>
      <w:r>
        <w:rPr>
          <w:rFonts w:hint="eastAsia" w:eastAsia="仿宋_GB2312"/>
          <w:sz w:val="32"/>
          <w:szCs w:val="32"/>
        </w:rPr>
        <w:t>市</w:t>
      </w:r>
      <w:r>
        <w:rPr>
          <w:rFonts w:eastAsia="仿宋_GB2312"/>
          <w:sz w:val="32"/>
          <w:szCs w:val="32"/>
        </w:rPr>
        <w:t>场供应应急管理机制；负责协调指</w:t>
      </w:r>
      <w:r>
        <w:rPr>
          <w:rFonts w:hint="eastAsia" w:eastAsia="仿宋_GB2312"/>
          <w:sz w:val="32"/>
          <w:szCs w:val="32"/>
        </w:rPr>
        <w:t>次</w:t>
      </w:r>
      <w:r>
        <w:rPr>
          <w:rFonts w:eastAsia="仿宋_GB2312"/>
          <w:sz w:val="32"/>
          <w:szCs w:val="32"/>
        </w:rPr>
        <w:t>导药品安全事件涉外事宜的处置工作。</w:t>
      </w:r>
    </w:p>
    <w:p>
      <w:pPr>
        <w:spacing w:line="580" w:lineRule="exact"/>
        <w:ind w:firstLine="640" w:firstLineChars="200"/>
        <w:rPr>
          <w:rFonts w:eastAsia="仿宋_GB2312"/>
          <w:sz w:val="32"/>
          <w:szCs w:val="32"/>
        </w:rPr>
      </w:pPr>
      <w:r>
        <w:rPr>
          <w:rFonts w:eastAsia="黑体"/>
          <w:sz w:val="32"/>
          <w:szCs w:val="32"/>
        </w:rPr>
        <w:t>区融媒体中心：</w:t>
      </w:r>
      <w:r>
        <w:rPr>
          <w:rFonts w:eastAsia="仿宋_GB2312"/>
          <w:sz w:val="32"/>
          <w:szCs w:val="32"/>
        </w:rPr>
        <w:t>在区委宣传部领导下，宣传党和政府药品安全事件应急处置的方针政策和有关规定，宣传党和政府采取的措施、所做的工作；组织开展相关知识、法律法规和先进人物、事迹的宣传报道。</w:t>
      </w:r>
    </w:p>
    <w:p>
      <w:pPr>
        <w:spacing w:line="580" w:lineRule="exact"/>
        <w:ind w:firstLine="640" w:firstLineChars="200"/>
        <w:rPr>
          <w:rFonts w:eastAsia="仿宋_GB2312"/>
          <w:sz w:val="32"/>
          <w:szCs w:val="32"/>
        </w:rPr>
      </w:pPr>
      <w:r>
        <w:rPr>
          <w:rFonts w:eastAsia="黑体"/>
          <w:sz w:val="32"/>
          <w:szCs w:val="32"/>
        </w:rPr>
        <w:t>区卫生健康局：</w:t>
      </w:r>
      <w:r>
        <w:rPr>
          <w:rFonts w:eastAsia="仿宋_GB2312"/>
          <w:sz w:val="32"/>
          <w:szCs w:val="32"/>
        </w:rPr>
        <w:t>负责药品安全事件发生后的医疗救治工作；配合药品监督管理部门做好药品安全事件的调查处理；负责医疗卫生机构药事管理和使用环节的医疗器械使用行为的监督管理，加强安全用药、合理用药的宣传教育。</w:t>
      </w:r>
    </w:p>
    <w:p>
      <w:pPr>
        <w:spacing w:line="580" w:lineRule="exact"/>
        <w:ind w:firstLine="640" w:firstLineChars="200"/>
        <w:rPr>
          <w:rFonts w:eastAsia="仿宋_GB2312"/>
          <w:sz w:val="32"/>
          <w:szCs w:val="32"/>
        </w:rPr>
      </w:pPr>
      <w:r>
        <w:rPr>
          <w:rFonts w:eastAsia="黑体"/>
          <w:sz w:val="32"/>
          <w:szCs w:val="32"/>
        </w:rPr>
        <w:t>区应急局：</w:t>
      </w:r>
      <w:r>
        <w:rPr>
          <w:rFonts w:eastAsia="仿宋_GB2312"/>
          <w:sz w:val="32"/>
          <w:szCs w:val="32"/>
        </w:rPr>
        <w:t>指导事发地区政府做好药品安全事件受灾群众的转移、安置和生活救助工作；负责应急处置所需物资、设备生产经营活动的安全生产综合监督管理工作。</w:t>
      </w:r>
    </w:p>
    <w:p>
      <w:pPr>
        <w:spacing w:line="580" w:lineRule="exact"/>
        <w:ind w:firstLine="640" w:firstLineChars="200"/>
        <w:rPr>
          <w:rFonts w:eastAsia="仿宋_GB2312"/>
          <w:sz w:val="32"/>
          <w:szCs w:val="32"/>
        </w:rPr>
      </w:pPr>
      <w:r>
        <w:rPr>
          <w:rFonts w:eastAsia="黑体"/>
          <w:sz w:val="32"/>
          <w:szCs w:val="32"/>
        </w:rPr>
        <w:t>区市场监管局：</w:t>
      </w:r>
      <w:r>
        <w:rPr>
          <w:rFonts w:eastAsia="仿宋_GB2312"/>
          <w:sz w:val="32"/>
          <w:szCs w:val="32"/>
        </w:rPr>
        <w:t>负责区指挥部办公室日常工作，落实办公室各项职责；组织、指导、监督、协调开展药品安全事件应急处置及事件调查。依法查处虚假宣传广告；查处借机囤积居奇、哄抬物价等违法行为，维护正常</w:t>
      </w:r>
      <w:r>
        <w:rPr>
          <w:rFonts w:hint="eastAsia" w:eastAsia="仿宋_GB2312"/>
          <w:sz w:val="32"/>
          <w:szCs w:val="32"/>
        </w:rPr>
        <w:t>市</w:t>
      </w:r>
      <w:r>
        <w:rPr>
          <w:rFonts w:eastAsia="仿宋_GB2312"/>
          <w:sz w:val="32"/>
          <w:szCs w:val="32"/>
        </w:rPr>
        <w:t>场秩序。</w:t>
      </w:r>
    </w:p>
    <w:p>
      <w:pPr>
        <w:spacing w:line="580" w:lineRule="exact"/>
        <w:ind w:firstLine="640" w:firstLineChars="200"/>
        <w:rPr>
          <w:rFonts w:eastAsia="仿宋_GB2312"/>
          <w:sz w:val="32"/>
          <w:szCs w:val="32"/>
        </w:rPr>
      </w:pPr>
      <w:r>
        <w:rPr>
          <w:rFonts w:eastAsia="黑体"/>
          <w:sz w:val="32"/>
          <w:szCs w:val="32"/>
        </w:rPr>
        <w:t>区大数据局：</w:t>
      </w:r>
      <w:r>
        <w:rPr>
          <w:rFonts w:eastAsia="仿宋_GB2312"/>
          <w:sz w:val="32"/>
          <w:szCs w:val="32"/>
        </w:rPr>
        <w:t>配合协调药品安全事件应急处置信息化应用。</w:t>
      </w:r>
    </w:p>
    <w:p>
      <w:pPr>
        <w:tabs>
          <w:tab w:val="left" w:pos="1480"/>
        </w:tabs>
        <w:spacing w:line="580" w:lineRule="exact"/>
        <w:ind w:firstLine="640" w:firstLineChars="200"/>
        <w:rPr>
          <w:rFonts w:eastAsia="仿宋_GB2312"/>
          <w:sz w:val="32"/>
          <w:szCs w:val="32"/>
        </w:rPr>
      </w:pPr>
      <w:r>
        <w:rPr>
          <w:rFonts w:eastAsia="黑体"/>
          <w:sz w:val="32"/>
          <w:szCs w:val="32"/>
        </w:rPr>
        <w:t>区信访局：</w:t>
      </w:r>
      <w:r>
        <w:rPr>
          <w:rFonts w:eastAsia="仿宋_GB2312"/>
          <w:sz w:val="32"/>
          <w:szCs w:val="32"/>
        </w:rPr>
        <w:t>配合做好药品安全事件信访问题协调、应急处置工作。</w:t>
      </w:r>
    </w:p>
    <w:p>
      <w:pPr>
        <w:tabs>
          <w:tab w:val="left" w:pos="1480"/>
        </w:tabs>
        <w:spacing w:line="100" w:lineRule="exact"/>
        <w:ind w:firstLine="640" w:firstLineChars="200"/>
        <w:rPr>
          <w:rFonts w:eastAsia="仿宋_GB2312"/>
          <w:sz w:val="32"/>
          <w:szCs w:val="32"/>
        </w:rPr>
      </w:pPr>
    </w:p>
    <w:p>
      <w:pPr>
        <w:tabs>
          <w:tab w:val="left" w:pos="1480"/>
        </w:tabs>
        <w:spacing w:line="100" w:lineRule="exact"/>
        <w:ind w:firstLine="640" w:firstLineChars="200"/>
        <w:rPr>
          <w:rFonts w:eastAsia="仿宋_GB2312"/>
          <w:sz w:val="32"/>
          <w:szCs w:val="32"/>
        </w:rPr>
      </w:pPr>
    </w:p>
    <w:p>
      <w:pPr>
        <w:tabs>
          <w:tab w:val="left" w:pos="1480"/>
        </w:tabs>
        <w:spacing w:line="100" w:lineRule="exact"/>
        <w:ind w:firstLine="640" w:firstLineChars="200"/>
        <w:rPr>
          <w:rFonts w:eastAsia="仿宋_GB2312"/>
          <w:sz w:val="32"/>
          <w:szCs w:val="32"/>
        </w:rPr>
      </w:pPr>
    </w:p>
    <w:p>
      <w:pPr>
        <w:tabs>
          <w:tab w:val="left" w:pos="1480"/>
        </w:tabs>
        <w:spacing w:line="100" w:lineRule="exact"/>
        <w:ind w:firstLine="640" w:firstLineChars="200"/>
        <w:rPr>
          <w:rFonts w:eastAsia="仿宋_GB2312"/>
          <w:sz w:val="32"/>
          <w:szCs w:val="32"/>
        </w:rPr>
      </w:pPr>
    </w:p>
    <w:p>
      <w:pPr>
        <w:tabs>
          <w:tab w:val="left" w:pos="1480"/>
        </w:tabs>
        <w:spacing w:line="100" w:lineRule="exact"/>
        <w:ind w:firstLine="640" w:firstLineChars="200"/>
        <w:rPr>
          <w:rFonts w:eastAsia="仿宋_GB2312"/>
          <w:sz w:val="32"/>
          <w:szCs w:val="32"/>
        </w:rPr>
      </w:pPr>
    </w:p>
    <w:p>
      <w:pPr>
        <w:pStyle w:val="5"/>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2"/>
          <w:kern w:val="0"/>
          <w:sz w:val="28"/>
          <w:szCs w:val="28"/>
        </w:rPr>
      </w:pPr>
      <w:r>
        <w:rPr>
          <w:rFonts w:eastAsia="仿宋_GB2312"/>
          <w:spacing w:val="-2"/>
          <w:kern w:val="0"/>
          <w:sz w:val="28"/>
          <w:szCs w:val="28"/>
        </w:rPr>
        <w:t>抄送：区委办，区人大办，区政协办，区纪委办，区人武部，区法院，</w:t>
      </w:r>
    </w:p>
    <w:p>
      <w:pPr>
        <w:widowControl/>
        <w:rPr>
          <w:rFonts w:eastAsia="仿宋_GB2312"/>
          <w:spacing w:val="-2"/>
          <w:kern w:val="0"/>
          <w:szCs w:val="21"/>
        </w:rPr>
      </w:pPr>
      <w:r>
        <w:rPr>
          <w:rFonts w:eastAsia="仿宋_GB2312"/>
          <w:spacing w:val="-2"/>
          <w:kern w:val="0"/>
          <w:sz w:val="28"/>
          <w:szCs w:val="28"/>
        </w:rPr>
        <w:t xml:space="preserve">        区检察院。</w:t>
      </w:r>
    </w:p>
    <w:p>
      <w:pPr>
        <w:pStyle w:val="5"/>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5"/>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2023年4月21日印发</w:t>
      </w:r>
    </w:p>
    <w:p>
      <w:pPr>
        <w:pStyle w:val="5"/>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bookmarkStart w:id="0" w:name="_GoBack"/>
      <w:bookmarkEnd w:id="0"/>
    </w:p>
    <w:sectPr>
      <w:headerReference r:id="rId4" w:type="first"/>
      <w:footerReference r:id="rId7" w:type="first"/>
      <w:headerReference r:id="rId3" w:type="default"/>
      <w:footerReference r:id="rId5" w:type="default"/>
      <w:footerReference r:id="rId6" w:type="even"/>
      <w:pgSz w:w="11907" w:h="16840"/>
      <w:pgMar w:top="2041" w:right="1531" w:bottom="170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Align="top"/>
      <w:pBdr>
        <w:between w:val="none" w:color="auto" w:sz="0" w:space="0"/>
      </w:pBdr>
      <w:rPr>
        <w:rStyle w:val="9"/>
        <w:rFonts w:hint="eastAsia" w:ascii="宋体" w:hAnsi="宋体"/>
        <w:sz w:val="28"/>
        <w:szCs w:val="28"/>
      </w:rPr>
    </w:pPr>
    <w:r>
      <w:rPr>
        <w:rStyle w:val="9"/>
        <w:rFonts w:hint="eastAsia" w:ascii="宋体" w:hAnsi="宋体"/>
        <w:color w:val="FFFFFF"/>
        <w:sz w:val="28"/>
        <w:szCs w:val="28"/>
      </w:rPr>
      <w:t>—</w:t>
    </w:r>
    <w:r>
      <w:rPr>
        <w:rStyle w:val="9"/>
        <w:rFonts w:hint="eastAsia" w:ascii="宋体" w:hAnsi="宋体"/>
        <w:sz w:val="28"/>
        <w:szCs w:val="28"/>
      </w:rPr>
      <w:t xml:space="preserve">—  </w:t>
    </w:r>
    <w:r>
      <w:rPr>
        <w:rFonts w:hint="eastAsia" w:ascii="宋体" w:hAnsi="宋体"/>
        <w:sz w:val="28"/>
        <w:szCs w:val="28"/>
      </w:rPr>
      <w:fldChar w:fldCharType="begin"/>
    </w:r>
    <w:r>
      <w:rPr>
        <w:rStyle w:val="9"/>
        <w:rFonts w:hint="eastAsia" w:ascii="宋体" w:hAnsi="宋体"/>
        <w:sz w:val="28"/>
        <w:szCs w:val="28"/>
      </w:rPr>
      <w:instrText xml:space="preserve"> PAGE  </w:instrText>
    </w:r>
    <w:r>
      <w:rPr>
        <w:rFonts w:hint="eastAsia" w:ascii="宋体" w:hAnsi="宋体"/>
        <w:sz w:val="28"/>
        <w:szCs w:val="28"/>
      </w:rPr>
      <w:fldChar w:fldCharType="separate"/>
    </w:r>
    <w:r>
      <w:rPr>
        <w:rStyle w:val="9"/>
        <w:rFonts w:ascii="宋体" w:hAnsi="宋体"/>
        <w:sz w:val="28"/>
        <w:szCs w:val="28"/>
      </w:rPr>
      <w:t>26</w:t>
    </w:r>
    <w:r>
      <w:rPr>
        <w:rFonts w:hint="eastAsia" w:ascii="宋体" w:hAnsi="宋体"/>
        <w:sz w:val="28"/>
        <w:szCs w:val="28"/>
      </w:rPr>
      <w:fldChar w:fldCharType="end"/>
    </w:r>
    <w:r>
      <w:rPr>
        <w:rStyle w:val="9"/>
        <w:rFonts w:hint="eastAsia" w:ascii="宋体" w:hAnsi="宋体"/>
        <w:sz w:val="28"/>
        <w:szCs w:val="28"/>
      </w:rPr>
      <w:t xml:space="preserve">  —</w:t>
    </w:r>
    <w:r>
      <w:rPr>
        <w:rStyle w:val="9"/>
        <w:rFonts w:hint="eastAsia" w:ascii="宋体" w:hAnsi="宋体"/>
        <w:color w:val="FFFFFF"/>
        <w:sz w:val="28"/>
        <w:szCs w:val="28"/>
      </w:rPr>
      <w:t>—</w:t>
    </w:r>
  </w:p>
  <w:p>
    <w:pPr>
      <w:pStyle w:val="3"/>
      <w:framePr w:wrap="around" w:vAnchor="text" w:hAnchor="margin" w:xAlign="outside" w:y="1"/>
      <w:ind w:right="360" w:firstLine="360"/>
      <w:rPr>
        <w:rStyle w:val="9"/>
        <w:rFonts w:hint="eastAsia"/>
        <w:sz w:val="28"/>
        <w:szCs w:val="28"/>
      </w:rPr>
    </w:pP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separate"/>
    </w:r>
    <w:r>
      <w:rPr>
        <w:rStyle w:val="9"/>
      </w:rPr>
      <w:t>26</w: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Fonts w:hint="eastAsia"/>
        <w:sz w:val="28"/>
        <w:szCs w:val="28"/>
      </w:rPr>
    </w:pPr>
    <w:r>
      <w:rPr>
        <w:rStyle w:val="9"/>
        <w:rFonts w:hint="eastAsia"/>
        <w:color w:val="FFFFFF"/>
        <w:sz w:val="28"/>
        <w:szCs w:val="28"/>
      </w:rPr>
      <w:t>—</w:t>
    </w: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26</w:t>
    </w:r>
    <w:r>
      <w:rPr>
        <w:sz w:val="28"/>
        <w:szCs w:val="28"/>
      </w:rPr>
      <w:fldChar w:fldCharType="end"/>
    </w:r>
    <w:r>
      <w:rPr>
        <w:rStyle w:val="9"/>
        <w:rFonts w:hint="eastAsia"/>
        <w:sz w:val="28"/>
        <w:szCs w:val="28"/>
      </w:rPr>
      <w:t xml:space="preserve">  —</w:t>
    </w:r>
    <w:r>
      <w:rPr>
        <w:rStyle w:val="9"/>
        <w:rFonts w:hint="eastAsia"/>
        <w:color w:val="FFFFFF"/>
        <w:sz w:val="28"/>
        <w:szCs w:val="28"/>
      </w:rPr>
      <w:t>—</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7B023"/>
    <w:rsid w:val="7BF41840"/>
    <w:rsid w:val="7CF7B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700" w:lineRule="exact"/>
      <w:ind w:firstLine="600"/>
    </w:pPr>
    <w:rPr>
      <w:rFonts w:eastAsia="仿宋_GB2312"/>
      <w:sz w:val="32"/>
      <w:szCs w:val="30"/>
    </w:rPr>
  </w:style>
  <w:style w:type="paragraph" w:styleId="3">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5">
    <w:name w:val="Body Text 2"/>
    <w:basedOn w:val="1"/>
    <w:qFormat/>
    <w:uiPriority w:val="0"/>
    <w:pPr>
      <w:jc w:val="center"/>
    </w:pPr>
    <w:rPr>
      <w:rFonts w:ascii="宋体" w:hAnsi="宋体"/>
      <w:sz w:val="70"/>
    </w:rPr>
  </w:style>
  <w:style w:type="paragraph" w:styleId="6">
    <w:name w:val="Body Text First Indent 2"/>
    <w:basedOn w:val="2"/>
    <w:qFormat/>
    <w:uiPriority w:val="0"/>
    <w:pPr>
      <w:spacing w:after="120" w:afterLines="0" w:line="240" w:lineRule="auto"/>
      <w:ind w:left="420" w:leftChars="200" w:firstLine="420" w:firstLineChars="200"/>
    </w:pPr>
    <w:rPr>
      <w:rFonts w:eastAsia="宋体"/>
      <w:sz w:val="21"/>
      <w:szCs w:val="24"/>
    </w:rPr>
  </w:style>
  <w:style w:type="character" w:styleId="9">
    <w:name w:val="page number"/>
    <w:basedOn w:val="8"/>
    <w:qFormat/>
    <w:uiPriority w:val="0"/>
  </w:style>
  <w:style w:type="paragraph" w:customStyle="1" w:styleId="10">
    <w:name w:val="Char Char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2023-05-11T16:25:00Z</dcterms:created>
  <dc:creator>独身仙子</dc:creator>
  <cp:lastModifiedBy>独身仙子</cp:lastModifiedBy>
  <dcterms:modified xsi:type="dcterms:W3CDTF">2023-05-11T16:38:41Z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