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淄博市周村区 202</w:t>
      </w:r>
      <w:r>
        <w:rPr>
          <w:rFonts w:hint="default" w:ascii="Times New Roman" w:hAnsi="Times New Roman" w:eastAsia="方正小标宋简体" w:cs="Times New Roman"/>
          <w:sz w:val="44"/>
          <w:szCs w:val="44"/>
          <w:lang w:val="en-US" w:eastAsia="zh-CN"/>
        </w:rPr>
        <w:t>1</w:t>
      </w:r>
      <w:r>
        <w:rPr>
          <w:rFonts w:hint="default" w:ascii="Times New Roman" w:hAnsi="Times New Roman" w:eastAsia="方正小标宋简体" w:cs="Times New Roman"/>
          <w:sz w:val="44"/>
          <w:szCs w:val="44"/>
        </w:rPr>
        <w:t>年政府信息公开工作</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年度报告</w:t>
      </w:r>
    </w:p>
    <w:p>
      <w:pPr>
        <w:pStyle w:val="4"/>
        <w:keepNext w:val="0"/>
        <w:keepLines w:val="0"/>
        <w:pageBreakBefore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根据《中华人民共和国政府信息公开条例》（以下简称《条例》）和国务院办公厅政府信息与政务公开办公室《中华人民共和国政府信息公开工作年度报告格式》（国办公开办函〔2021〕30号）要求，向社会公布周村区人民政府2021年度信息公开工作年度报告。</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sz w:val="32"/>
          <w:szCs w:val="32"/>
        </w:rPr>
      </w:pPr>
      <w:r>
        <w:rPr>
          <w:rFonts w:hint="default" w:ascii="Times New Roman" w:hAnsi="Times New Roman" w:eastAsia="仿宋_GB2312" w:cs="Times New Roman"/>
          <w:sz w:val="32"/>
          <w:szCs w:val="32"/>
        </w:rPr>
        <w:t>　</w:t>
      </w: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黑体" w:cs="Times New Roman"/>
          <w:sz w:val="32"/>
          <w:szCs w:val="32"/>
        </w:rPr>
        <w:t>一、总体情况</w:t>
      </w:r>
    </w:p>
    <w:p>
      <w:pPr>
        <w:keepNext w:val="0"/>
        <w:keepLines w:val="0"/>
        <w:pageBreakBefore w:val="0"/>
        <w:widowControl w:val="0"/>
        <w:kinsoku/>
        <w:wordWrap/>
        <w:overflowPunct/>
        <w:topLinePunct w:val="0"/>
        <w:autoSpaceDE/>
        <w:autoSpaceDN/>
        <w:bidi w:val="0"/>
        <w:adjustRightInd/>
        <w:snapToGrid/>
        <w:spacing w:line="240" w:lineRule="auto"/>
        <w:ind w:firstLine="320" w:firstLineChars="100"/>
        <w:textAlignment w:val="auto"/>
        <w:rPr>
          <w:rFonts w:hint="default" w:ascii="Times New Roman" w:hAnsi="Times New Roman" w:eastAsia="楷体" w:cs="Times New Roman"/>
          <w:sz w:val="32"/>
          <w:szCs w:val="32"/>
        </w:rPr>
      </w:pPr>
      <w:r>
        <w:rPr>
          <w:rFonts w:hint="default" w:ascii="Times New Roman" w:hAnsi="Times New Roman" w:eastAsia="楷体" w:cs="Times New Roman"/>
          <w:sz w:val="32"/>
          <w:szCs w:val="32"/>
        </w:rPr>
        <w:t>（一）主动公开情况</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firstLine="640" w:firstLineChars="200"/>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1、政府信息公开制度建设情况。一是加强组织领导。召开区政府常务会议专题研究政务公开工作，</w:t>
      </w:r>
      <w:r>
        <w:rPr>
          <w:rFonts w:hint="default" w:ascii="Times New Roman" w:hAnsi="Times New Roman" w:eastAsia="仿宋_GB2312" w:cs="Times New Roman"/>
          <w:sz w:val="32"/>
          <w:szCs w:val="32"/>
          <w:lang w:val="en-US" w:eastAsia="zh-CN"/>
        </w:rPr>
        <w:t>主动适应政务公开工作面临的新形势、新任务、新要求，聚焦企业、群众关切，进一步深化重点领域信息公开，自觉接受社会监督。二是</w:t>
      </w:r>
      <w:r>
        <w:rPr>
          <w:rFonts w:hint="default" w:ascii="Times New Roman" w:hAnsi="Times New Roman" w:eastAsia="仿宋_GB2312" w:cs="Times New Roman"/>
          <w:sz w:val="32"/>
          <w:szCs w:val="32"/>
          <w:lang w:val="en-US" w:eastAsia="en-US"/>
        </w:rPr>
        <w:t>根据工作需要</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en-US"/>
        </w:rPr>
        <w:t>对</w:t>
      </w:r>
      <w:r>
        <w:rPr>
          <w:rFonts w:hint="default" w:ascii="Times New Roman" w:hAnsi="Times New Roman" w:eastAsia="仿宋_GB2312" w:cs="Times New Roman"/>
          <w:sz w:val="32"/>
          <w:szCs w:val="32"/>
          <w:lang w:val="en-US" w:eastAsia="zh-CN"/>
        </w:rPr>
        <w:t>周村区</w:t>
      </w:r>
      <w:r>
        <w:rPr>
          <w:rFonts w:hint="default" w:ascii="Times New Roman" w:hAnsi="Times New Roman" w:eastAsia="仿宋_GB2312" w:cs="Times New Roman"/>
          <w:sz w:val="32"/>
          <w:szCs w:val="32"/>
          <w:lang w:val="en-US" w:eastAsia="en-US"/>
        </w:rPr>
        <w:t>政务公开领导小组进行调整</w:t>
      </w:r>
      <w:r>
        <w:rPr>
          <w:rFonts w:hint="default" w:ascii="Times New Roman" w:hAnsi="Times New Roman" w:eastAsia="仿宋_GB2312" w:cs="Times New Roman"/>
          <w:sz w:val="32"/>
          <w:szCs w:val="32"/>
          <w:lang w:val="en-US" w:eastAsia="zh-CN"/>
        </w:rPr>
        <w:t>，10月15日印发《</w:t>
      </w:r>
      <w:r>
        <w:rPr>
          <w:rFonts w:hint="default" w:ascii="Times New Roman" w:hAnsi="Times New Roman" w:eastAsia="仿宋_GB2312" w:cs="Times New Roman"/>
          <w:sz w:val="32"/>
          <w:szCs w:val="32"/>
          <w:lang w:val="en-US" w:eastAsia="en-US"/>
        </w:rPr>
        <w:t>关于调整</w:t>
      </w:r>
      <w:r>
        <w:rPr>
          <w:rFonts w:hint="default" w:ascii="Times New Roman" w:hAnsi="Times New Roman" w:eastAsia="仿宋_GB2312" w:cs="Times New Roman"/>
          <w:sz w:val="32"/>
          <w:szCs w:val="32"/>
          <w:lang w:val="en-US" w:eastAsia="zh-CN"/>
        </w:rPr>
        <w:t>周村区</w:t>
      </w:r>
      <w:r>
        <w:rPr>
          <w:rFonts w:hint="default" w:ascii="Times New Roman" w:hAnsi="Times New Roman" w:eastAsia="仿宋_GB2312" w:cs="Times New Roman"/>
          <w:sz w:val="32"/>
          <w:szCs w:val="32"/>
          <w:lang w:val="en-US" w:eastAsia="en-US"/>
        </w:rPr>
        <w:t>政务公开领导小组的通知</w:t>
      </w:r>
      <w:r>
        <w:rPr>
          <w:rFonts w:hint="default" w:ascii="Times New Roman" w:hAnsi="Times New Roman" w:eastAsia="仿宋_GB2312" w:cs="Times New Roman"/>
          <w:sz w:val="32"/>
          <w:szCs w:val="32"/>
          <w:lang w:val="en-US" w:eastAsia="zh-CN"/>
        </w:rPr>
        <w:t>》。区委常委、区政府副区长、经济开发区党工委书记丁军担任周村区政务公开领导小组组长</w:t>
      </w:r>
      <w:r>
        <w:rPr>
          <w:rFonts w:hint="eastAsia" w:ascii="Times New Roman" w:hAnsi="Times New Roman" w:eastAsia="仿宋_GB2312" w:cs="Times New Roman"/>
          <w:sz w:val="32"/>
          <w:szCs w:val="32"/>
          <w:lang w:val="en-US" w:eastAsia="zh-CN"/>
        </w:rPr>
        <w:t>。定期召集相关单位召开协调推进会议，调度督导工作进展、研究解决突出问题，提高各单位重视程度。</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firstLine="640" w:firstLineChars="200"/>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3817620" cy="3032125"/>
            <wp:effectExtent l="0" t="0" r="11430" b="15875"/>
            <wp:docPr id="6" name="图片 6" descr="微信图片_2022021816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218160134"/>
                    <pic:cNvPicPr>
                      <a:picLocks noChangeAspect="1"/>
                    </pic:cNvPicPr>
                  </pic:nvPicPr>
                  <pic:blipFill>
                    <a:blip r:embed="rId4"/>
                    <a:stretch>
                      <a:fillRect/>
                    </a:stretch>
                  </pic:blipFill>
                  <pic:spPr>
                    <a:xfrm>
                      <a:off x="0" y="0"/>
                      <a:ext cx="3817620" cy="3032125"/>
                    </a:xfrm>
                    <a:prstGeom prst="rect">
                      <a:avLst/>
                    </a:prstGeom>
                  </pic:spPr>
                </pic:pic>
              </a:graphicData>
            </a:graphic>
          </wp:inline>
        </w:drawing>
      </w:r>
    </w:p>
    <w:p>
      <w:pPr>
        <w:pStyle w:val="4"/>
        <w:keepNext w:val="0"/>
        <w:keepLines w:val="0"/>
        <w:pageBreakBefore w:val="0"/>
        <w:kinsoku/>
        <w:wordWrap/>
        <w:overflowPunct/>
        <w:topLinePunct w:val="0"/>
        <w:autoSpaceDE/>
        <w:autoSpaceDN/>
        <w:bidi w:val="0"/>
        <w:adjustRightInd/>
        <w:snapToGrid/>
        <w:spacing w:after="0" w:afterLines="0" w:line="240" w:lineRule="auto"/>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2、信息发布</w:t>
      </w:r>
      <w:r>
        <w:rPr>
          <w:rFonts w:hint="default" w:ascii="Times New Roman" w:hAnsi="Times New Roman" w:eastAsia="仿宋_GB2312" w:cs="Times New Roman"/>
          <w:sz w:val="32"/>
          <w:szCs w:val="32"/>
          <w:lang w:val="en-US" w:eastAsia="zh-CN"/>
        </w:rPr>
        <w:t>情况</w:t>
      </w:r>
      <w:r>
        <w:rPr>
          <w:rFonts w:hint="default" w:ascii="Times New Roman" w:hAnsi="Times New Roman" w:eastAsia="仿宋_GB2312" w:cs="Times New Roman"/>
          <w:sz w:val="32"/>
          <w:szCs w:val="32"/>
        </w:rPr>
        <w:t>。本年度共主动公开政府信息</w:t>
      </w:r>
      <w:r>
        <w:rPr>
          <w:rFonts w:hint="default" w:ascii="Times New Roman" w:hAnsi="Times New Roman" w:eastAsia="仿宋_GB2312" w:cs="Times New Roman"/>
          <w:sz w:val="32"/>
          <w:szCs w:val="32"/>
          <w:lang w:val="en-US" w:eastAsia="zh-CN"/>
        </w:rPr>
        <w:t>16706</w:t>
      </w:r>
      <w:r>
        <w:rPr>
          <w:rFonts w:hint="default" w:ascii="Times New Roman" w:hAnsi="Times New Roman" w:eastAsia="仿宋_GB2312" w:cs="Times New Roman"/>
          <w:sz w:val="32"/>
          <w:szCs w:val="32"/>
        </w:rPr>
        <w:t>条。其中，区政府网站公开信息</w:t>
      </w:r>
      <w:r>
        <w:rPr>
          <w:rFonts w:hint="default" w:ascii="Times New Roman" w:hAnsi="Times New Roman" w:eastAsia="仿宋_GB2312" w:cs="Times New Roman"/>
          <w:sz w:val="32"/>
          <w:szCs w:val="32"/>
          <w:lang w:val="en-US" w:eastAsia="zh-CN"/>
        </w:rPr>
        <w:t>6874</w:t>
      </w:r>
      <w:r>
        <w:rPr>
          <w:rFonts w:hint="default" w:ascii="Times New Roman" w:hAnsi="Times New Roman" w:eastAsia="仿宋_GB2312" w:cs="Times New Roman"/>
          <w:sz w:val="32"/>
          <w:szCs w:val="32"/>
        </w:rPr>
        <w:t>条，政务微博“周村发布”公开信息</w:t>
      </w:r>
      <w:r>
        <w:rPr>
          <w:rFonts w:hint="default" w:ascii="Times New Roman" w:hAnsi="Times New Roman" w:eastAsia="仿宋_GB2312" w:cs="Times New Roman"/>
          <w:sz w:val="32"/>
          <w:szCs w:val="32"/>
          <w:lang w:val="en-US" w:eastAsia="zh-CN"/>
        </w:rPr>
        <w:t>1100</w:t>
      </w:r>
      <w:r>
        <w:rPr>
          <w:rFonts w:hint="default" w:ascii="Times New Roman" w:hAnsi="Times New Roman" w:eastAsia="仿宋_GB2312" w:cs="Times New Roman"/>
          <w:sz w:val="32"/>
          <w:szCs w:val="32"/>
        </w:rPr>
        <w:t>条，政务微信“掌上周村”公开信息</w:t>
      </w:r>
      <w:r>
        <w:rPr>
          <w:rFonts w:hint="default" w:ascii="Times New Roman" w:hAnsi="Times New Roman" w:eastAsia="仿宋_GB2312" w:cs="Times New Roman"/>
          <w:sz w:val="32"/>
          <w:szCs w:val="32"/>
          <w:lang w:val="en-US" w:eastAsia="zh-CN"/>
        </w:rPr>
        <w:t>2090</w:t>
      </w:r>
      <w:r>
        <w:rPr>
          <w:rFonts w:hint="default" w:ascii="Times New Roman" w:hAnsi="Times New Roman" w:eastAsia="仿宋_GB2312" w:cs="Times New Roman"/>
          <w:sz w:val="32"/>
          <w:szCs w:val="32"/>
        </w:rPr>
        <w:t>条，政府公报</w:t>
      </w:r>
      <w:r>
        <w:rPr>
          <w:rFonts w:hint="default" w:ascii="Times New Roman" w:hAnsi="Times New Roman" w:eastAsia="仿宋_GB2312" w:cs="Times New Roman"/>
          <w:sz w:val="32"/>
          <w:szCs w:val="32"/>
          <w:lang w:val="en-US" w:eastAsia="zh-CN"/>
        </w:rPr>
        <w:t>12</w:t>
      </w:r>
      <w:r>
        <w:rPr>
          <w:rFonts w:hint="default" w:ascii="Times New Roman" w:hAnsi="Times New Roman" w:eastAsia="仿宋_GB2312" w:cs="Times New Roman"/>
          <w:sz w:val="32"/>
          <w:szCs w:val="32"/>
        </w:rPr>
        <w:t>期，山东政务服务网公布办事服务总计事项6</w:t>
      </w:r>
      <w:r>
        <w:rPr>
          <w:rFonts w:hint="default" w:ascii="Times New Roman" w:hAnsi="Times New Roman" w:eastAsia="仿宋_GB2312" w:cs="Times New Roman"/>
          <w:sz w:val="32"/>
          <w:szCs w:val="32"/>
          <w:lang w:val="en-US" w:eastAsia="zh-CN"/>
        </w:rPr>
        <w:t>63</w:t>
      </w:r>
      <w:r>
        <w:rPr>
          <w:rFonts w:hint="default" w:ascii="Times New Roman" w:hAnsi="Times New Roman" w:eastAsia="仿宋_GB2312" w:cs="Times New Roman"/>
          <w:sz w:val="32"/>
          <w:szCs w:val="32"/>
        </w:rPr>
        <w:t>0件。</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i w:val="0"/>
          <w:caps w:val="0"/>
          <w:color w:val="000000"/>
          <w:spacing w:val="0"/>
          <w:sz w:val="32"/>
          <w:szCs w:val="32"/>
          <w:lang w:val="en-US" w:eastAsia="zh-CN"/>
        </w:rPr>
      </w:pPr>
      <w:r>
        <w:rPr>
          <w:rFonts w:hint="default" w:ascii="Times New Roman" w:hAnsi="Times New Roman" w:eastAsia="仿宋_GB2312" w:cs="Times New Roman"/>
          <w:i w:val="0"/>
          <w:caps w:val="0"/>
          <w:color w:val="000000"/>
          <w:spacing w:val="0"/>
          <w:sz w:val="32"/>
          <w:szCs w:val="32"/>
          <w:lang w:val="en-US" w:eastAsia="zh-CN"/>
        </w:rPr>
        <w:t>推行信息公开内容模板化，针对以前存在的半公开、粗略公开、合并公开问题，制作公开模板，统一标题、统一格式，由各部门单位填充内容，确保公开要素完整。</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i w:val="0"/>
          <w:caps w:val="0"/>
          <w:color w:val="000000"/>
          <w:spacing w:val="0"/>
          <w:sz w:val="32"/>
          <w:szCs w:val="32"/>
          <w:lang w:val="en-US" w:eastAsia="zh-CN"/>
        </w:rPr>
      </w:pPr>
      <w:r>
        <w:rPr>
          <w:rFonts w:hint="default" w:ascii="Times New Roman" w:hAnsi="Times New Roman" w:eastAsia="仿宋_GB2312" w:cs="Times New Roman"/>
          <w:i w:val="0"/>
          <w:caps w:val="0"/>
          <w:color w:val="000000"/>
          <w:spacing w:val="0"/>
          <w:sz w:val="32"/>
          <w:szCs w:val="32"/>
          <w:lang w:val="en-US" w:eastAsia="zh-CN"/>
        </w:rPr>
        <w:drawing>
          <wp:inline distT="0" distB="0" distL="114300" distR="114300">
            <wp:extent cx="5268595" cy="2778760"/>
            <wp:effectExtent l="0" t="0" r="8255" b="2540"/>
            <wp:docPr id="3" name="图片 3" descr="1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拼图"/>
                    <pic:cNvPicPr>
                      <a:picLocks noChangeAspect="1"/>
                    </pic:cNvPicPr>
                  </pic:nvPicPr>
                  <pic:blipFill>
                    <a:blip r:embed="rId5"/>
                    <a:stretch>
                      <a:fillRect/>
                    </a:stretch>
                  </pic:blipFill>
                  <pic:spPr>
                    <a:xfrm>
                      <a:off x="0" y="0"/>
                      <a:ext cx="5268595" cy="277876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新建“机构职能”专栏，全面梳理公布区政府部门单位基本信息，包括单位名称、办公时间、办公地址、联系电话等，统一格式，一目了然。（2）贯彻落实行政执法公示制度。建立“行政执法”专栏，集中向社会依法公开本单位行政执法事项清单、执法人员名单、执法结果等。（3）新建“重大建设项目”专栏，集中公开2021年周村区重大建设项目的批准结果信息、招标投标信息、征收土地信息、施工有关信息、质量安全监督信息等。</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_GB2312" w:cs="Times New Roman"/>
          <w:i w:val="0"/>
          <w:caps w:val="0"/>
          <w:color w:val="000000"/>
          <w:spacing w:val="0"/>
          <w:sz w:val="32"/>
          <w:szCs w:val="32"/>
          <w:shd w:val="clear" w:color="auto" w:fill="FFFFFF"/>
        </w:rPr>
      </w:pPr>
      <w:r>
        <w:rPr>
          <w:rFonts w:hint="default" w:ascii="Times New Roman" w:hAnsi="Times New Roman" w:eastAsia="仿宋_GB2312" w:cs="Times New Roman"/>
          <w:sz w:val="32"/>
          <w:szCs w:val="32"/>
        </w:rPr>
        <w:t>3、解读回应情况</w:t>
      </w:r>
      <w:r>
        <w:rPr>
          <w:rFonts w:hint="default" w:ascii="Times New Roman" w:hAnsi="Times New Roman" w:eastAsia="仿宋_GB2312" w:cs="Times New Roman"/>
          <w:sz w:val="32"/>
          <w:szCs w:val="32"/>
          <w:lang w:eastAsia="zh-CN"/>
        </w:rPr>
        <w:t>。</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lang w:val="en-US" w:eastAsia="zh-CN"/>
        </w:rPr>
        <w:t>1</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完善解读制度</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印发《周村区人民政府办公室关于印发周村区政策文件解读工作实施办法的通知》，</w:t>
      </w:r>
      <w:r>
        <w:rPr>
          <w:rFonts w:hint="default" w:ascii="Times New Roman" w:hAnsi="Times New Roman" w:eastAsia="仿宋_GB2312" w:cs="Times New Roman"/>
          <w:i w:val="0"/>
          <w:caps w:val="0"/>
          <w:color w:val="000000"/>
          <w:spacing w:val="0"/>
          <w:sz w:val="32"/>
          <w:szCs w:val="32"/>
          <w:shd w:val="clear" w:color="auto" w:fill="FFFFFF"/>
        </w:rPr>
        <w:t>坚持政策性文件与解读方案、解读材料同步组织、同步审签、同步部署。</w:t>
      </w:r>
      <w:r>
        <w:rPr>
          <w:rFonts w:hint="default" w:ascii="Times New Roman" w:hAnsi="Times New Roman" w:eastAsia="仿宋_GB2312" w:cs="Times New Roman"/>
          <w:i w:val="0"/>
          <w:caps w:val="0"/>
          <w:color w:val="000000"/>
          <w:spacing w:val="0"/>
          <w:sz w:val="32"/>
          <w:szCs w:val="32"/>
          <w:shd w:val="clear" w:color="auto" w:fill="FFFFFF"/>
          <w:lang w:eastAsia="zh-CN"/>
        </w:rPr>
        <w:t>（</w:t>
      </w:r>
      <w:r>
        <w:rPr>
          <w:rFonts w:hint="default" w:ascii="Times New Roman" w:hAnsi="Times New Roman" w:eastAsia="仿宋_GB2312" w:cs="Times New Roman"/>
          <w:i w:val="0"/>
          <w:caps w:val="0"/>
          <w:color w:val="000000"/>
          <w:spacing w:val="0"/>
          <w:sz w:val="32"/>
          <w:szCs w:val="32"/>
          <w:shd w:val="clear" w:color="auto" w:fill="FFFFFF"/>
          <w:lang w:val="en-US" w:eastAsia="zh-CN"/>
        </w:rPr>
        <w:t>2</w:t>
      </w:r>
      <w:r>
        <w:rPr>
          <w:rFonts w:hint="default" w:ascii="Times New Roman" w:hAnsi="Times New Roman" w:eastAsia="仿宋_GB2312" w:cs="Times New Roman"/>
          <w:i w:val="0"/>
          <w:caps w:val="0"/>
          <w:color w:val="000000"/>
          <w:spacing w:val="0"/>
          <w:sz w:val="32"/>
          <w:szCs w:val="32"/>
          <w:shd w:val="clear" w:color="auto" w:fill="FFFFFF"/>
          <w:lang w:eastAsia="zh-CN"/>
        </w:rPr>
        <w:t>）</w:t>
      </w:r>
      <w:r>
        <w:rPr>
          <w:rFonts w:hint="default" w:ascii="Times New Roman" w:hAnsi="Times New Roman" w:eastAsia="仿宋_GB2312" w:cs="Times New Roman"/>
          <w:i w:val="0"/>
          <w:caps w:val="0"/>
          <w:color w:val="000000"/>
          <w:spacing w:val="0"/>
          <w:sz w:val="32"/>
          <w:szCs w:val="32"/>
          <w:shd w:val="clear" w:color="auto" w:fill="FFFFFF"/>
          <w:lang w:val="en-US" w:eastAsia="zh-CN"/>
        </w:rPr>
        <w:t>丰富解读形式。</w:t>
      </w:r>
      <w:r>
        <w:rPr>
          <w:rFonts w:hint="default" w:ascii="Times New Roman" w:hAnsi="Times New Roman" w:eastAsia="仿宋_GB2312" w:cs="Times New Roman"/>
          <w:i w:val="0"/>
          <w:caps w:val="0"/>
          <w:color w:val="000000"/>
          <w:spacing w:val="0"/>
          <w:sz w:val="32"/>
          <w:szCs w:val="32"/>
          <w:shd w:val="clear" w:color="auto" w:fill="FFFFFF"/>
        </w:rPr>
        <w:t>对一些专业性较强的政策，进行形象化、通俗化解读，多举实例、多讲故事，确保广大人民群众“听得懂、好明白、能理解”。</w:t>
      </w:r>
      <w:r>
        <w:rPr>
          <w:rFonts w:hint="default" w:ascii="Times New Roman" w:hAnsi="Times New Roman" w:eastAsia="仿宋_GB2312" w:cs="Times New Roman"/>
          <w:i w:val="0"/>
          <w:caps w:val="0"/>
          <w:color w:val="000000"/>
          <w:spacing w:val="0"/>
          <w:sz w:val="32"/>
          <w:szCs w:val="32"/>
          <w:shd w:val="clear" w:color="auto" w:fill="FFFFFF"/>
          <w:lang w:eastAsia="zh-CN"/>
        </w:rPr>
        <w:t>《</w:t>
      </w:r>
      <w:r>
        <w:rPr>
          <w:rFonts w:hint="default" w:ascii="Times New Roman" w:hAnsi="Times New Roman" w:eastAsia="仿宋_GB2312" w:cs="Times New Roman"/>
          <w:i w:val="0"/>
          <w:caps w:val="0"/>
          <w:color w:val="000000"/>
          <w:spacing w:val="0"/>
          <w:sz w:val="32"/>
          <w:szCs w:val="32"/>
          <w:shd w:val="clear" w:color="auto" w:fill="FFFFFF"/>
        </w:rPr>
        <w:t>2021年度周村区重大民生实施项目</w:t>
      </w:r>
      <w:r>
        <w:rPr>
          <w:rFonts w:hint="default" w:ascii="Times New Roman" w:hAnsi="Times New Roman" w:eastAsia="仿宋_GB2312" w:cs="Times New Roman"/>
          <w:i w:val="0"/>
          <w:caps w:val="0"/>
          <w:color w:val="000000"/>
          <w:spacing w:val="0"/>
          <w:sz w:val="32"/>
          <w:szCs w:val="32"/>
          <w:shd w:val="clear" w:color="auto" w:fill="FFFFFF"/>
          <w:lang w:eastAsia="zh-CN"/>
        </w:rPr>
        <w:t>》、《周村区人民政府办公室关于提高全区困难群众救助保障标准的通知》</w:t>
      </w:r>
      <w:r>
        <w:rPr>
          <w:rFonts w:hint="default" w:ascii="Times New Roman" w:hAnsi="Times New Roman" w:eastAsia="仿宋_GB2312" w:cs="Times New Roman"/>
          <w:i w:val="0"/>
          <w:caps w:val="0"/>
          <w:color w:val="000000"/>
          <w:spacing w:val="0"/>
          <w:sz w:val="32"/>
          <w:szCs w:val="32"/>
          <w:shd w:val="clear" w:color="auto" w:fill="FFFFFF"/>
          <w:lang w:val="en-US" w:eastAsia="zh-CN"/>
        </w:rPr>
        <w:t>等群众关心关切的政策，通过注重</w:t>
      </w:r>
      <w:r>
        <w:rPr>
          <w:rFonts w:hint="default" w:ascii="Times New Roman" w:hAnsi="Times New Roman" w:eastAsia="仿宋_GB2312" w:cs="Times New Roman"/>
          <w:i w:val="0"/>
          <w:caps w:val="0"/>
          <w:color w:val="000000"/>
          <w:spacing w:val="0"/>
          <w:sz w:val="32"/>
          <w:szCs w:val="32"/>
          <w:shd w:val="clear" w:color="auto" w:fill="FFFFFF"/>
        </w:rPr>
        <w:t>运用数字化、图片图解图表、音频视频等方式，增强解读效果。</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Times New Roman" w:hAnsi="Times New Roman" w:eastAsia="仿宋_GB2312" w:cs="Times New Roman"/>
          <w:i w:val="0"/>
          <w:caps w:val="0"/>
          <w:color w:val="000000"/>
          <w:spacing w:val="0"/>
          <w:sz w:val="32"/>
          <w:szCs w:val="32"/>
          <w:shd w:val="clear" w:color="auto" w:fill="FFFFFF"/>
          <w:lang w:eastAsia="zh-CN"/>
        </w:rPr>
      </w:pPr>
      <w:r>
        <w:rPr>
          <w:rFonts w:hint="eastAsia" w:ascii="Times New Roman" w:hAnsi="Times New Roman" w:eastAsia="仿宋_GB2312" w:cs="Times New Roman"/>
          <w:i w:val="0"/>
          <w:caps w:val="0"/>
          <w:color w:val="000000"/>
          <w:spacing w:val="0"/>
          <w:sz w:val="32"/>
          <w:szCs w:val="32"/>
          <w:shd w:val="clear" w:color="auto" w:fill="FFFFFF"/>
          <w:lang w:eastAsia="zh-CN"/>
        </w:rPr>
        <w:drawing>
          <wp:inline distT="0" distB="0" distL="114300" distR="114300">
            <wp:extent cx="5269230" cy="5269230"/>
            <wp:effectExtent l="0" t="0" r="7620" b="7620"/>
            <wp:docPr id="4" name="图片 4" descr="2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拼图"/>
                    <pic:cNvPicPr>
                      <a:picLocks noChangeAspect="1"/>
                    </pic:cNvPicPr>
                  </pic:nvPicPr>
                  <pic:blipFill>
                    <a:blip r:embed="rId6"/>
                    <a:stretch>
                      <a:fillRect/>
                    </a:stretch>
                  </pic:blipFill>
                  <pic:spPr>
                    <a:xfrm>
                      <a:off x="0" y="0"/>
                      <a:ext cx="5269230" cy="5269230"/>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caps w:val="0"/>
          <w:color w:val="000000"/>
          <w:spacing w:val="0"/>
          <w:sz w:val="32"/>
          <w:szCs w:val="32"/>
          <w:shd w:val="clear" w:color="auto" w:fill="FFFFFF"/>
          <w:lang w:eastAsia="zh-CN"/>
        </w:rPr>
        <w:t>（</w:t>
      </w:r>
      <w:r>
        <w:rPr>
          <w:rFonts w:hint="default" w:ascii="Times New Roman" w:hAnsi="Times New Roman" w:eastAsia="仿宋_GB2312" w:cs="Times New Roman"/>
          <w:i w:val="0"/>
          <w:caps w:val="0"/>
          <w:color w:val="000000"/>
          <w:spacing w:val="0"/>
          <w:sz w:val="32"/>
          <w:szCs w:val="32"/>
          <w:shd w:val="clear" w:color="auto" w:fill="FFFFFF"/>
          <w:lang w:val="en-US" w:eastAsia="zh-CN"/>
        </w:rPr>
        <w:t>3</w:t>
      </w:r>
      <w:r>
        <w:rPr>
          <w:rFonts w:hint="default" w:ascii="Times New Roman" w:hAnsi="Times New Roman" w:eastAsia="仿宋_GB2312" w:cs="Times New Roman"/>
          <w:i w:val="0"/>
          <w:caps w:val="0"/>
          <w:color w:val="000000"/>
          <w:spacing w:val="0"/>
          <w:sz w:val="32"/>
          <w:szCs w:val="32"/>
          <w:shd w:val="clear" w:color="auto" w:fill="FFFFFF"/>
          <w:lang w:eastAsia="zh-CN"/>
        </w:rPr>
        <w:t>）</w:t>
      </w:r>
      <w:r>
        <w:rPr>
          <w:rFonts w:hint="default" w:ascii="Times New Roman" w:hAnsi="Times New Roman" w:eastAsia="仿宋_GB2312" w:cs="Times New Roman"/>
          <w:sz w:val="32"/>
          <w:szCs w:val="32"/>
          <w:lang w:val="en-US" w:eastAsia="zh-CN"/>
        </w:rPr>
        <w:t>建立健全政策精准推送渠道，指导发改、工信、医保、人社等单位</w:t>
      </w:r>
      <w:r>
        <w:rPr>
          <w:rFonts w:hint="default" w:ascii="Times New Roman" w:hAnsi="Times New Roman" w:eastAsia="仿宋_GB2312" w:cs="Times New Roman"/>
          <w:sz w:val="32"/>
          <w:szCs w:val="32"/>
          <w:lang w:val="zh-CN" w:eastAsia="zh-CN"/>
        </w:rPr>
        <w:t>，</w:t>
      </w:r>
      <w:r>
        <w:rPr>
          <w:rFonts w:hint="default" w:ascii="Times New Roman" w:hAnsi="Times New Roman" w:eastAsia="仿宋_GB2312" w:cs="Times New Roman"/>
          <w:sz w:val="32"/>
          <w:szCs w:val="32"/>
          <w:lang w:val="en-US" w:eastAsia="zh-CN"/>
        </w:rPr>
        <w:t>梳理汇总</w:t>
      </w:r>
      <w:r>
        <w:rPr>
          <w:rFonts w:hint="default" w:ascii="Times New Roman" w:hAnsi="Times New Roman" w:eastAsia="仿宋_GB2312" w:cs="Times New Roman"/>
          <w:sz w:val="32"/>
          <w:szCs w:val="32"/>
          <w:lang w:val="zh-CN" w:eastAsia="zh-CN"/>
        </w:rPr>
        <w:t>支持</w:t>
      </w:r>
      <w:r>
        <w:rPr>
          <w:rFonts w:hint="default" w:ascii="Times New Roman" w:hAnsi="Times New Roman" w:eastAsia="仿宋_GB2312" w:cs="Times New Roman"/>
          <w:sz w:val="32"/>
          <w:szCs w:val="32"/>
          <w:lang w:val="en-US" w:eastAsia="zh-CN"/>
        </w:rPr>
        <w:t>产业发展的政策汇编，</w:t>
      </w:r>
      <w:r>
        <w:rPr>
          <w:rFonts w:hint="default" w:ascii="Times New Roman" w:hAnsi="Times New Roman" w:eastAsia="仿宋_GB2312" w:cs="Times New Roman"/>
          <w:sz w:val="32"/>
          <w:szCs w:val="32"/>
          <w:lang w:val="zh-CN" w:eastAsia="zh-CN"/>
        </w:rPr>
        <w:t>识别重点企业政策需求，</w:t>
      </w:r>
      <w:r>
        <w:rPr>
          <w:rFonts w:hint="default" w:ascii="Times New Roman" w:hAnsi="Times New Roman" w:eastAsia="仿宋_GB2312" w:cs="Times New Roman"/>
          <w:sz w:val="32"/>
          <w:szCs w:val="32"/>
          <w:lang w:val="en-US" w:eastAsia="zh-CN"/>
        </w:rPr>
        <w:t>动态更新服务和保障对象信息，通过微信公众号、微信群定向发布，精准推送涉企政策文件，提高政务公开的针对性和有效性。</w:t>
      </w:r>
    </w:p>
    <w:p>
      <w:pPr>
        <w:keepNext w:val="0"/>
        <w:keepLines w:val="0"/>
        <w:pageBreakBefore w:val="0"/>
        <w:widowControl w:val="0"/>
        <w:kinsoku/>
        <w:wordWrap/>
        <w:overflowPunct/>
        <w:topLinePunct w:val="0"/>
        <w:autoSpaceDE/>
        <w:autoSpaceDN/>
        <w:bidi w:val="0"/>
        <w:adjustRightInd/>
        <w:snapToGrid/>
        <w:spacing w:line="240" w:lineRule="auto"/>
        <w:ind w:firstLine="320" w:firstLineChars="100"/>
        <w:textAlignment w:val="auto"/>
        <w:rPr>
          <w:rFonts w:hint="default" w:ascii="Times New Roman" w:hAnsi="Times New Roman" w:eastAsia="楷体" w:cs="Times New Roman"/>
          <w:sz w:val="32"/>
          <w:szCs w:val="32"/>
        </w:rPr>
      </w:pPr>
      <w:r>
        <w:rPr>
          <w:rFonts w:hint="default" w:ascii="Times New Roman" w:hAnsi="Times New Roman" w:eastAsia="楷体" w:cs="Times New Roman"/>
          <w:sz w:val="32"/>
          <w:szCs w:val="32"/>
          <w:lang w:val="en-US" w:eastAsia="zh-CN"/>
        </w:rPr>
        <w:t>（二）</w:t>
      </w:r>
      <w:r>
        <w:rPr>
          <w:rFonts w:hint="default" w:ascii="Times New Roman" w:hAnsi="Times New Roman" w:eastAsia="楷体" w:cs="Times New Roman"/>
          <w:sz w:val="32"/>
          <w:szCs w:val="32"/>
        </w:rPr>
        <w:t>依申请公开</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加强对各部门单位政务公开工作人员的法律知识培训，以规范答复文书格式为重点，做好申请接收、登记、办理、调查、答复等各个环节工作，全面提升政府信息公开申请办理工作质量。</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全区各级行政机关受理政府信息公开申请</w:t>
      </w:r>
      <w:r>
        <w:rPr>
          <w:rFonts w:hint="eastAsia" w:ascii="Times New Roman" w:hAnsi="Times New Roman" w:eastAsia="仿宋_GB2312" w:cs="Times New Roman"/>
          <w:sz w:val="32"/>
          <w:szCs w:val="32"/>
          <w:lang w:val="en-US" w:eastAsia="zh-CN"/>
        </w:rPr>
        <w:t>68</w:t>
      </w:r>
      <w:r>
        <w:rPr>
          <w:rFonts w:hint="default" w:ascii="Times New Roman" w:hAnsi="Times New Roman" w:eastAsia="仿宋_GB2312" w:cs="Times New Roman"/>
          <w:sz w:val="32"/>
          <w:szCs w:val="32"/>
          <w:lang w:val="en-US" w:eastAsia="zh-CN"/>
        </w:rPr>
        <w:t>件， 其中，当面申请2件，网络申请17件，信函申请</w:t>
      </w:r>
      <w:r>
        <w:rPr>
          <w:rFonts w:hint="eastAsia" w:ascii="Times New Roman" w:hAnsi="Times New Roman" w:eastAsia="仿宋_GB2312" w:cs="Times New Roman"/>
          <w:sz w:val="32"/>
          <w:szCs w:val="32"/>
          <w:lang w:val="en-US" w:eastAsia="zh-CN"/>
        </w:rPr>
        <w:t>49</w:t>
      </w:r>
      <w:r>
        <w:rPr>
          <w:rFonts w:hint="default" w:ascii="Times New Roman" w:hAnsi="Times New Roman" w:eastAsia="仿宋_GB2312" w:cs="Times New Roman"/>
          <w:sz w:val="32"/>
          <w:szCs w:val="32"/>
          <w:lang w:val="en-US" w:eastAsia="zh-CN"/>
        </w:rPr>
        <w:t>件。收到的依申请公开件现已全部办结，其中予以公开</w:t>
      </w:r>
      <w:r>
        <w:rPr>
          <w:rFonts w:hint="eastAsia" w:ascii="Times New Roman" w:hAnsi="Times New Roman" w:eastAsia="仿宋_GB2312" w:cs="Times New Roman"/>
          <w:sz w:val="32"/>
          <w:szCs w:val="32"/>
          <w:lang w:val="en-US" w:eastAsia="zh-CN"/>
        </w:rPr>
        <w:t>40件，部分公开10件，无法提供11件，不予处理2件，其他处理2件，</w:t>
      </w:r>
      <w:r>
        <w:rPr>
          <w:rFonts w:hint="default" w:ascii="Times New Roman" w:hAnsi="Times New Roman" w:eastAsia="仿宋_GB2312" w:cs="Times New Roman"/>
          <w:sz w:val="32"/>
          <w:szCs w:val="32"/>
          <w:lang w:val="en-US" w:eastAsia="zh-CN"/>
        </w:rPr>
        <w:t>结转2022年办结3件。全区各行政机关向公民、法人和其他组织提供政府信息，全部实行免费。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095875" cy="3819525"/>
            <wp:effectExtent l="0" t="0" r="9525" b="9525"/>
            <wp:docPr id="5" name="图片 5" descr="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饼状图"/>
                    <pic:cNvPicPr>
                      <a:picLocks noChangeAspect="1"/>
                    </pic:cNvPicPr>
                  </pic:nvPicPr>
                  <pic:blipFill>
                    <a:blip r:embed="rId7"/>
                    <a:stretch>
                      <a:fillRect/>
                    </a:stretch>
                  </pic:blipFill>
                  <pic:spPr>
                    <a:xfrm>
                      <a:off x="0" y="0"/>
                      <a:ext cx="5095875" cy="3819525"/>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Times New Roman" w:hAnsi="Times New Roman" w:eastAsia="仿宋_GB2312" w:cs="Times New Roman"/>
          <w:sz w:val="32"/>
          <w:szCs w:val="32"/>
          <w:lang w:eastAsia="zh-CN"/>
        </w:rPr>
      </w:pPr>
      <w:r>
        <w:rPr>
          <w:rFonts w:hint="eastAsia" w:ascii="Times New Roman" w:hAnsi="Times New Roman" w:eastAsia="楷体" w:cs="Times New Roman"/>
          <w:kern w:val="2"/>
          <w:sz w:val="32"/>
          <w:szCs w:val="32"/>
          <w:lang w:val="en-US" w:eastAsia="zh-CN" w:bidi="ar-SA"/>
        </w:rPr>
        <w:t>（三）</w:t>
      </w:r>
      <w:r>
        <w:rPr>
          <w:rFonts w:hint="default" w:ascii="Times New Roman" w:hAnsi="Times New Roman" w:eastAsia="楷体" w:cs="Times New Roman"/>
          <w:kern w:val="2"/>
          <w:sz w:val="32"/>
          <w:szCs w:val="32"/>
          <w:lang w:val="en-US" w:eastAsia="zh-CN" w:bidi="ar-SA"/>
        </w:rPr>
        <w:t>政府信息管理</w:t>
      </w:r>
      <w:r>
        <w:rPr>
          <w:rFonts w:hint="default" w:ascii="Times New Roman" w:hAnsi="Times New Roman" w:eastAsia="仿宋_GB2312" w:cs="Times New Roman"/>
          <w:sz w:val="32"/>
          <w:szCs w:val="32"/>
          <w:lang w:val="en-US" w:eastAsia="zh-CN"/>
        </w:rPr>
        <w:t>。1、建立健全政府信息公开属性</w:t>
      </w:r>
      <w:r>
        <w:rPr>
          <w:rFonts w:hint="default" w:ascii="Times New Roman" w:hAnsi="Times New Roman" w:eastAsia="仿宋_GB2312" w:cs="Times New Roman"/>
          <w:sz w:val="32"/>
          <w:szCs w:val="32"/>
        </w:rPr>
        <w:t>源头认定机制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区政府办公室调整发文程序，由文秘科负责把关，要求各部门单位</w:t>
      </w:r>
      <w:r>
        <w:rPr>
          <w:rFonts w:hint="default" w:ascii="Times New Roman" w:hAnsi="Times New Roman" w:eastAsia="仿宋_GB2312" w:cs="Times New Roman"/>
          <w:sz w:val="32"/>
          <w:szCs w:val="32"/>
        </w:rPr>
        <w:t>拟定公文时要确定信息公开属性，明确标注“此件公开发布”“此件依申请公开”“此件不予公开”等字样</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确保应公开文件及时公开</w:t>
      </w:r>
      <w:r>
        <w:rPr>
          <w:rFonts w:hint="default" w:ascii="Times New Roman" w:hAnsi="Times New Roman" w:eastAsia="仿宋_GB2312" w:cs="Times New Roman"/>
          <w:sz w:val="32"/>
          <w:szCs w:val="3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将</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人民政府常务会议讨论决定事项及</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人民政府制定的政策文件，以及各乡镇人民政府、</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政府各部门（单位）制定的政策文件，除依法不予公开的外，都及时通过</w:t>
      </w:r>
      <w:r>
        <w:rPr>
          <w:rFonts w:hint="default" w:ascii="Times New Roman" w:hAnsi="Times New Roman" w:eastAsia="仿宋_GB2312" w:cs="Times New Roman"/>
          <w:sz w:val="32"/>
          <w:szCs w:val="32"/>
          <w:lang w:val="en-US" w:eastAsia="zh-CN"/>
        </w:rPr>
        <w:t>区</w:t>
      </w:r>
      <w:r>
        <w:rPr>
          <w:rFonts w:hint="default" w:ascii="Times New Roman" w:hAnsi="Times New Roman" w:eastAsia="仿宋_GB2312" w:cs="Times New Roman"/>
          <w:sz w:val="32"/>
          <w:szCs w:val="32"/>
        </w:rPr>
        <w:t>政府网站、政府公报、政务“两微一端”等渠道公开</w:t>
      </w:r>
      <w:r>
        <w:rPr>
          <w:rFonts w:hint="default" w:ascii="Times New Roman" w:hAnsi="Times New Roman" w:eastAsia="仿宋_GB2312" w:cs="Times New Roman"/>
          <w:sz w:val="32"/>
          <w:szCs w:val="32"/>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对凡是涉及群众切身利益的重大</w:t>
      </w:r>
      <w:r>
        <w:rPr>
          <w:rFonts w:hint="default" w:ascii="Times New Roman" w:hAnsi="Times New Roman" w:eastAsia="仿宋_GB2312" w:cs="Times New Roman"/>
          <w:sz w:val="32"/>
          <w:szCs w:val="32"/>
          <w:lang w:val="en-US" w:eastAsia="zh-CN"/>
        </w:rPr>
        <w:t>行政决策</w:t>
      </w:r>
      <w:r>
        <w:rPr>
          <w:rFonts w:hint="default" w:ascii="Times New Roman" w:hAnsi="Times New Roman" w:eastAsia="仿宋_GB2312" w:cs="Times New Roman"/>
          <w:sz w:val="32"/>
          <w:szCs w:val="32"/>
        </w:rPr>
        <w:t>、重点</w:t>
      </w:r>
      <w:r>
        <w:rPr>
          <w:rFonts w:hint="default" w:ascii="Times New Roman" w:hAnsi="Times New Roman" w:eastAsia="仿宋_GB2312" w:cs="Times New Roman"/>
          <w:sz w:val="32"/>
          <w:szCs w:val="32"/>
          <w:lang w:val="en-US" w:eastAsia="zh-CN"/>
        </w:rPr>
        <w:t>建设</w:t>
      </w:r>
      <w:r>
        <w:rPr>
          <w:rFonts w:hint="default" w:ascii="Times New Roman" w:hAnsi="Times New Roman" w:eastAsia="仿宋_GB2312" w:cs="Times New Roman"/>
          <w:sz w:val="32"/>
          <w:szCs w:val="32"/>
        </w:rPr>
        <w:t>工程项目，在决策</w:t>
      </w:r>
      <w:r>
        <w:rPr>
          <w:rFonts w:hint="default" w:ascii="Times New Roman" w:hAnsi="Times New Roman" w:eastAsia="仿宋_GB2312" w:cs="Times New Roman"/>
          <w:sz w:val="32"/>
          <w:szCs w:val="32"/>
          <w:lang w:val="en-US" w:eastAsia="zh-CN"/>
        </w:rPr>
        <w:t>制定</w:t>
      </w:r>
      <w:r>
        <w:rPr>
          <w:rFonts w:hint="default" w:ascii="Times New Roman" w:hAnsi="Times New Roman" w:eastAsia="仿宋_GB2312" w:cs="Times New Roman"/>
          <w:sz w:val="32"/>
          <w:szCs w:val="32"/>
        </w:rPr>
        <w:t>前，通过座谈会、发文征求等形式广泛征求意见。</w:t>
      </w:r>
    </w:p>
    <w:p>
      <w:pPr>
        <w:pStyle w:val="2"/>
        <w:jc w:val="center"/>
        <w:rPr>
          <w:rFonts w:hint="eastAsia" w:eastAsia="仿宋_GB2312"/>
          <w:lang w:eastAsia="zh-CN"/>
        </w:rPr>
      </w:pPr>
      <w:r>
        <w:rPr>
          <w:rFonts w:hint="eastAsia" w:eastAsia="仿宋_GB2312"/>
          <w:lang w:eastAsia="zh-CN"/>
        </w:rPr>
        <w:drawing>
          <wp:inline distT="0" distB="0" distL="114300" distR="114300">
            <wp:extent cx="5334000" cy="3171190"/>
            <wp:effectExtent l="0" t="0" r="0" b="10160"/>
            <wp:docPr id="2" name="图片 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8"/>
                    <pic:cNvPicPr>
                      <a:picLocks noChangeAspect="1"/>
                    </pic:cNvPicPr>
                  </pic:nvPicPr>
                  <pic:blipFill>
                    <a:blip r:embed="rId8"/>
                    <a:stretch>
                      <a:fillRect/>
                    </a:stretch>
                  </pic:blipFill>
                  <pic:spPr>
                    <a:xfrm>
                      <a:off x="0" y="0"/>
                      <a:ext cx="5334000" cy="3171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lang w:val="en-US" w:eastAsia="zh-CN"/>
        </w:rPr>
        <w:t>（四）政府信息公开平台建设。</w:t>
      </w:r>
      <w:r>
        <w:rPr>
          <w:rFonts w:hint="default" w:ascii="Times New Roman" w:hAnsi="Times New Roman" w:eastAsia="仿宋_GB2312" w:cs="Times New Roman"/>
          <w:sz w:val="32"/>
          <w:szCs w:val="32"/>
        </w:rPr>
        <w:t>1、对标国内优秀政府网站，围绕国务院、省、市2021年政务公开年度工作要点，对区政府网站布局、功能等全面改版升级。一是建设政府网站空白栏目和长期不更新栏目监测预警平台，及时通报监测情况，极大地降低了超期不更风险。二是新增和改建“企事业单位信息公开”、“政策解读”、“政府常务会议”、“机构职能”等8个专题专栏，网站服务更加便民利民。</w:t>
      </w:r>
    </w:p>
    <w:p>
      <w:pPr>
        <w:pStyle w:val="4"/>
        <w:keepNext w:val="0"/>
        <w:keepLines w:val="0"/>
        <w:pageBreakBefore w:val="0"/>
        <w:kinsoku/>
        <w:wordWrap/>
        <w:overflowPunct/>
        <w:topLinePunct w:val="0"/>
        <w:autoSpaceDE/>
        <w:autoSpaceDN/>
        <w:bidi w:val="0"/>
        <w:adjustRightInd/>
        <w:snapToGrid/>
        <w:spacing w:after="0" w:afterLines="0" w:line="240" w:lineRule="auto"/>
        <w:textAlignment w:val="auto"/>
        <w:rPr>
          <w:rFonts w:hint="default" w:ascii="Times New Roman" w:hAnsi="Times New Roman" w:cs="Times New Roman"/>
        </w:rPr>
      </w:pPr>
      <w:r>
        <w:rPr>
          <w:rFonts w:hint="default" w:ascii="Times New Roman" w:hAnsi="Times New Roman" w:eastAsia="仿宋_GB2312" w:cs="Times New Roman"/>
          <w:sz w:val="32"/>
          <w:szCs w:val="32"/>
        </w:rPr>
        <w:drawing>
          <wp:inline distT="0" distB="0" distL="114300" distR="114300">
            <wp:extent cx="5269865" cy="3216275"/>
            <wp:effectExtent l="0" t="0" r="6985" b="3175"/>
            <wp:docPr id="1" name="图片 1" descr="d90f227694f28e38ff4f6ccdf31e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0f227694f28e38ff4f6ccdf31e645"/>
                    <pic:cNvPicPr>
                      <a:picLocks noChangeAspect="1"/>
                    </pic:cNvPicPr>
                  </pic:nvPicPr>
                  <pic:blipFill>
                    <a:blip r:embed="rId9"/>
                    <a:stretch>
                      <a:fillRect/>
                    </a:stretch>
                  </pic:blipFill>
                  <pic:spPr>
                    <a:xfrm>
                      <a:off x="0" y="0"/>
                      <a:ext cx="5269865" cy="3216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全区政府部门共有30个微信公众号、5个微博、1个APP、2个今日头条号、</w:t>
      </w:r>
      <w:r>
        <w:rPr>
          <w:rFonts w:hint="default" w:ascii="Times New Roman" w:hAnsi="Times New Roman" w:eastAsia="仿宋_GB2312" w:cs="Times New Roman"/>
          <w:sz w:val="32"/>
          <w:szCs w:val="32"/>
          <w:lang w:val="en-US" w:eastAsia="zh-CN"/>
        </w:rPr>
        <w:t>3个抖音短视频号</w:t>
      </w:r>
      <w:r>
        <w:rPr>
          <w:rFonts w:hint="default" w:ascii="Times New Roman" w:hAnsi="Times New Roman" w:eastAsia="仿宋_GB2312" w:cs="Times New Roman"/>
          <w:sz w:val="32"/>
          <w:szCs w:val="32"/>
        </w:rPr>
        <w:t>。“掌上周村”等微信公众号成为我区重要的信息公开载体，“周村发布”微博粉丝突破5万人，智慧周村手机台APP新开设“阳光政务”、“政策解读”等栏目，形成信息公开新优势。</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楷体" w:cs="Times New Roman"/>
          <w:sz w:val="32"/>
          <w:szCs w:val="32"/>
          <w:lang w:val="en-US" w:eastAsia="zh-CN"/>
        </w:rPr>
        <w:t>（五）监督保障。</w:t>
      </w:r>
      <w:r>
        <w:rPr>
          <w:rFonts w:hint="default" w:ascii="Times New Roman" w:hAnsi="Times New Roman" w:eastAsia="仿宋_GB2312" w:cs="Times New Roman"/>
          <w:sz w:val="32"/>
          <w:szCs w:val="32"/>
        </w:rPr>
        <w:t>1、组织全区政务公开业务培训，切实加强对全区政务公开工作的指导和督促。组织2次政务公开标准化规范化建设专题培训，3次部门单位集中办公会，另外还对人社、公安、审计、民政等重点部门单位进行了上门指导业务，面对面沟通交流政务公开中的难点和问题，进一步补齐短板，推动整体工作实现新提升。</w:t>
      </w:r>
    </w:p>
    <w:p>
      <w:pPr>
        <w:pStyle w:val="2"/>
        <w:keepNext w:val="0"/>
        <w:keepLines w:val="0"/>
        <w:pageBreakBefore w:val="0"/>
        <w:kinsoku/>
        <w:wordWrap/>
        <w:overflowPunct/>
        <w:topLinePunct w:val="0"/>
        <w:autoSpaceDE/>
        <w:autoSpaceDN/>
        <w:bidi w:val="0"/>
        <w:adjustRightInd/>
        <w:snapToGrid/>
        <w:jc w:val="center"/>
        <w:textAlignment w:val="auto"/>
        <w:rPr>
          <w:rFonts w:hint="eastAsia" w:eastAsiaTheme="minorEastAsia"/>
          <w:lang w:eastAsia="zh-CN"/>
        </w:rPr>
      </w:pPr>
      <w:r>
        <w:rPr>
          <w:rFonts w:hint="eastAsia" w:eastAsiaTheme="minorEastAsia"/>
          <w:lang w:eastAsia="zh-CN"/>
        </w:rPr>
        <w:drawing>
          <wp:inline distT="0" distB="0" distL="114300" distR="114300">
            <wp:extent cx="5264785" cy="3947160"/>
            <wp:effectExtent l="0" t="0" r="12065" b="15240"/>
            <wp:docPr id="8" name="图片 8" descr="迎评工作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迎评工作会"/>
                    <pic:cNvPicPr>
                      <a:picLocks noChangeAspect="1"/>
                    </pic:cNvPicPr>
                  </pic:nvPicPr>
                  <pic:blipFill>
                    <a:blip r:embed="rId10"/>
                    <a:stretch>
                      <a:fillRect/>
                    </a:stretch>
                  </pic:blipFill>
                  <pic:spPr>
                    <a:xfrm>
                      <a:off x="0" y="0"/>
                      <a:ext cx="5264785" cy="3947160"/>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240" w:lineRule="auto"/>
        <w:ind w:firstLine="640" w:firstLineChars="200"/>
        <w:textAlignment w:val="auto"/>
        <w:rPr>
          <w:rFonts w:hint="default" w:ascii="Times New Roman" w:hAnsi="Times New Roman" w:eastAsia="黑体" w:cs="Times New Roman"/>
          <w:i w:val="0"/>
          <w:caps w:val="0"/>
          <w:color w:val="000000"/>
          <w:spacing w:val="-8"/>
          <w:sz w:val="32"/>
          <w:szCs w:val="32"/>
        </w:rPr>
      </w:pPr>
      <w:r>
        <w:rPr>
          <w:rFonts w:hint="default" w:ascii="Times New Roman" w:hAnsi="Times New Roman" w:eastAsia="仿宋_GB2312" w:cs="Times New Roman"/>
          <w:sz w:val="32"/>
          <w:szCs w:val="32"/>
        </w:rPr>
        <w:t>2、加强监督考核力度。将政务公开纳入全区经济社会发展综合考核</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分值比重从2020年的10分提高到20分，确保监督机制发挥刚性约束，工作开展更有“抓手”</w:t>
      </w:r>
      <w:r>
        <w:rPr>
          <w:rFonts w:hint="default" w:ascii="Times New Roman" w:hAnsi="Times New Roman" w:eastAsia="仿宋_GB2312" w:cs="Times New Roman"/>
          <w:sz w:val="32"/>
          <w:szCs w:val="32"/>
        </w:rPr>
        <w:t>。对全区政务公开工作进行日常监测、定期评估，对各镇街道、部门工作落实情况实行周调度、月通报制度，并对工作完成滞后的部门单位单独发函调度。2021年共印发9期通报，向住建、市场监管、卫生健康等10个部门主要负责人发函督促，发挥较好的指挥棒作用。</w:t>
      </w:r>
      <w:r>
        <w:rPr>
          <w:rFonts w:hint="eastAsia" w:ascii="Times New Roman" w:hAnsi="Times New Roman" w:eastAsia="仿宋_GB2312" w:cs="Times New Roman"/>
          <w:sz w:val="32"/>
          <w:szCs w:val="32"/>
          <w:lang w:val="en-US" w:eastAsia="zh-CN"/>
        </w:rPr>
        <w:t>每半年</w:t>
      </w:r>
      <w:r>
        <w:rPr>
          <w:rFonts w:hint="default" w:ascii="Times New Roman" w:hAnsi="Times New Roman" w:eastAsia="仿宋_GB2312" w:cs="Times New Roman"/>
          <w:sz w:val="32"/>
          <w:szCs w:val="32"/>
          <w:lang w:val="en-US" w:eastAsia="zh-CN"/>
        </w:rPr>
        <w:t>聘请第三方</w:t>
      </w:r>
      <w:r>
        <w:rPr>
          <w:rFonts w:hint="eastAsia" w:ascii="Times New Roman" w:hAnsi="Times New Roman" w:eastAsia="仿宋_GB2312" w:cs="Times New Roman"/>
          <w:sz w:val="32"/>
          <w:szCs w:val="32"/>
          <w:lang w:val="en-US" w:eastAsia="zh-CN"/>
        </w:rPr>
        <w:t>测评</w:t>
      </w:r>
      <w:r>
        <w:rPr>
          <w:rFonts w:hint="default" w:ascii="Times New Roman" w:hAnsi="Times New Roman" w:eastAsia="仿宋_GB2312" w:cs="Times New Roman"/>
          <w:sz w:val="32"/>
          <w:szCs w:val="32"/>
          <w:lang w:val="en-US" w:eastAsia="zh-CN"/>
        </w:rPr>
        <w:t>机构对政务公开工作进行</w:t>
      </w:r>
      <w:r>
        <w:rPr>
          <w:rFonts w:hint="eastAsia"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lang w:val="en-US" w:eastAsia="zh-CN"/>
        </w:rPr>
        <w:t>次全面评估，从群众视角查找工作中的不足</w:t>
      </w:r>
      <w:r>
        <w:rPr>
          <w:rFonts w:hint="eastAsia" w:ascii="Times New Roman" w:hAnsi="Times New Roman" w:eastAsia="仿宋_GB2312" w:cs="Times New Roman"/>
          <w:sz w:val="32"/>
          <w:szCs w:val="32"/>
          <w:lang w:val="en-US" w:eastAsia="zh-CN"/>
        </w:rPr>
        <w:t>，从专业角度查找短板弱项，有针对性加以整改提升。</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黑体" w:cs="Times New Roman"/>
          <w:i w:val="0"/>
          <w:caps w:val="0"/>
          <w:color w:val="000000"/>
          <w:spacing w:val="-8"/>
          <w:sz w:val="32"/>
          <w:szCs w:val="32"/>
        </w:rPr>
      </w:pPr>
      <w:r>
        <w:rPr>
          <w:rFonts w:hint="default" w:ascii="Times New Roman" w:hAnsi="Times New Roman" w:eastAsia="黑体" w:cs="Times New Roman"/>
          <w:i w:val="0"/>
          <w:caps w:val="0"/>
          <w:color w:val="000000"/>
          <w:spacing w:val="-8"/>
          <w:sz w:val="32"/>
          <w:szCs w:val="32"/>
        </w:rPr>
        <w:t>二</w:t>
      </w:r>
      <w:r>
        <w:rPr>
          <w:rFonts w:hint="default" w:ascii="Times New Roman" w:hAnsi="Times New Roman" w:eastAsia="黑体" w:cs="Times New Roman"/>
          <w:i w:val="0"/>
          <w:caps w:val="0"/>
          <w:color w:val="000000"/>
          <w:spacing w:val="-8"/>
          <w:sz w:val="32"/>
          <w:szCs w:val="32"/>
          <w:lang w:eastAsia="zh-CN"/>
        </w:rPr>
        <w:t>、</w:t>
      </w:r>
      <w:r>
        <w:rPr>
          <w:rFonts w:hint="default" w:ascii="Times New Roman" w:hAnsi="Times New Roman" w:eastAsia="黑体" w:cs="Times New Roman"/>
          <w:i w:val="0"/>
          <w:caps w:val="0"/>
          <w:color w:val="000000"/>
          <w:spacing w:val="-8"/>
          <w:sz w:val="32"/>
          <w:szCs w:val="32"/>
        </w:rPr>
        <w:t>行政机关主动公开政府信息情况</w:t>
      </w:r>
    </w:p>
    <w:tbl>
      <w:tblPr>
        <w:tblStyle w:val="6"/>
        <w:tblW w:w="0" w:type="auto"/>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06"/>
        <w:gridCol w:w="2206"/>
        <w:gridCol w:w="2206"/>
        <w:gridCol w:w="22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24" w:type="dxa"/>
            <w:gridSpan w:val="4"/>
            <w:shd w:val="clear" w:color="auto" w:fill="C5D9F0"/>
          </w:tcPr>
          <w:p>
            <w:pPr>
              <w:pStyle w:val="10"/>
              <w:spacing w:before="148"/>
              <w:ind w:left="3445" w:right="3429"/>
              <w:jc w:val="center"/>
              <w:rPr>
                <w:rFonts w:hint="eastAsia" w:ascii="黑体" w:eastAsia="黑体"/>
                <w:sz w:val="21"/>
              </w:rPr>
            </w:pPr>
            <w:r>
              <w:rPr>
                <w:rFonts w:hint="eastAsia" w:ascii="黑体" w:eastAsia="黑体"/>
                <w:sz w:val="21"/>
              </w:rPr>
              <w:t>第二十条第（一）项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2206" w:type="dxa"/>
          </w:tcPr>
          <w:p>
            <w:pPr>
              <w:pStyle w:val="10"/>
              <w:spacing w:before="149"/>
              <w:ind w:right="664"/>
              <w:jc w:val="right"/>
              <w:rPr>
                <w:sz w:val="21"/>
              </w:rPr>
            </w:pPr>
            <w:r>
              <w:rPr>
                <w:w w:val="95"/>
                <w:sz w:val="21"/>
              </w:rPr>
              <w:t>信息内容</w:t>
            </w:r>
          </w:p>
        </w:tc>
        <w:tc>
          <w:tcPr>
            <w:tcW w:w="2206" w:type="dxa"/>
          </w:tcPr>
          <w:p>
            <w:pPr>
              <w:pStyle w:val="10"/>
              <w:spacing w:before="149"/>
              <w:ind w:left="472"/>
              <w:rPr>
                <w:sz w:val="21"/>
              </w:rPr>
            </w:pPr>
            <w:r>
              <w:rPr>
                <w:sz w:val="21"/>
              </w:rPr>
              <w:t>本年制发件数</w:t>
            </w:r>
          </w:p>
        </w:tc>
        <w:tc>
          <w:tcPr>
            <w:tcW w:w="2206" w:type="dxa"/>
          </w:tcPr>
          <w:p>
            <w:pPr>
              <w:pStyle w:val="10"/>
              <w:spacing w:before="149"/>
              <w:ind w:left="472"/>
              <w:rPr>
                <w:sz w:val="21"/>
              </w:rPr>
            </w:pPr>
            <w:r>
              <w:rPr>
                <w:sz w:val="21"/>
              </w:rPr>
              <w:t>本年废止件数</w:t>
            </w:r>
          </w:p>
        </w:tc>
        <w:tc>
          <w:tcPr>
            <w:tcW w:w="2206" w:type="dxa"/>
          </w:tcPr>
          <w:p>
            <w:pPr>
              <w:pStyle w:val="10"/>
              <w:spacing w:before="149"/>
              <w:ind w:left="471"/>
              <w:rPr>
                <w:sz w:val="21"/>
              </w:rPr>
            </w:pPr>
            <w:r>
              <w:rPr>
                <w:sz w:val="21"/>
              </w:rPr>
              <w:t>现行有效件数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206" w:type="dxa"/>
          </w:tcPr>
          <w:p>
            <w:pPr>
              <w:pStyle w:val="10"/>
              <w:spacing w:before="147"/>
              <w:ind w:left="108"/>
              <w:rPr>
                <w:sz w:val="21"/>
              </w:rPr>
            </w:pPr>
            <w:r>
              <w:rPr>
                <w:sz w:val="21"/>
              </w:rPr>
              <w:t>规章</w:t>
            </w:r>
          </w:p>
        </w:tc>
        <w:tc>
          <w:tcPr>
            <w:tcW w:w="2206" w:type="dxa"/>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2206" w:type="dxa"/>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2206" w:type="dxa"/>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206" w:type="dxa"/>
          </w:tcPr>
          <w:p>
            <w:pPr>
              <w:pStyle w:val="10"/>
              <w:spacing w:before="149"/>
              <w:ind w:left="108"/>
              <w:rPr>
                <w:sz w:val="21"/>
              </w:rPr>
            </w:pPr>
            <w:r>
              <w:rPr>
                <w:sz w:val="21"/>
              </w:rPr>
              <w:t>行政规范性文件</w:t>
            </w:r>
          </w:p>
        </w:tc>
        <w:tc>
          <w:tcPr>
            <w:tcW w:w="2206" w:type="dxa"/>
          </w:tcPr>
          <w:p>
            <w:pPr>
              <w:pStyle w:val="10"/>
              <w:jc w:val="center"/>
              <w:rPr>
                <w:rFonts w:hint="eastAsia" w:ascii="Times New Roman" w:eastAsia="仿宋_GB2312"/>
                <w:sz w:val="22"/>
                <w:lang w:val="en-US" w:eastAsia="zh-CN"/>
              </w:rPr>
            </w:pPr>
            <w:r>
              <w:rPr>
                <w:rFonts w:hint="eastAsia" w:ascii="Times New Roman"/>
                <w:sz w:val="22"/>
                <w:lang w:val="en-US" w:eastAsia="zh-CN"/>
              </w:rPr>
              <w:t>5</w:t>
            </w:r>
          </w:p>
        </w:tc>
        <w:tc>
          <w:tcPr>
            <w:tcW w:w="2206" w:type="dxa"/>
          </w:tcPr>
          <w:p>
            <w:pPr>
              <w:pStyle w:val="10"/>
              <w:jc w:val="center"/>
              <w:rPr>
                <w:rFonts w:hint="eastAsia" w:ascii="Times New Roman" w:eastAsia="仿宋_GB2312"/>
                <w:sz w:val="22"/>
                <w:lang w:val="en-US" w:eastAsia="zh-CN"/>
              </w:rPr>
            </w:pPr>
            <w:r>
              <w:rPr>
                <w:rFonts w:hint="eastAsia" w:ascii="Times New Roman"/>
                <w:sz w:val="22"/>
                <w:lang w:val="en-US" w:eastAsia="zh-CN"/>
              </w:rPr>
              <w:t>1</w:t>
            </w:r>
          </w:p>
        </w:tc>
        <w:tc>
          <w:tcPr>
            <w:tcW w:w="2206" w:type="dxa"/>
          </w:tcPr>
          <w:p>
            <w:pPr>
              <w:pStyle w:val="10"/>
              <w:jc w:val="center"/>
              <w:rPr>
                <w:rFonts w:hint="default" w:ascii="Times New Roman" w:eastAsia="仿宋_GB2312"/>
                <w:sz w:val="22"/>
                <w:lang w:val="en-US" w:eastAsia="zh-CN"/>
              </w:rPr>
            </w:pPr>
            <w:r>
              <w:rPr>
                <w:rFonts w:hint="eastAsia" w:ascii="Times New Roman"/>
                <w:sz w:val="22"/>
                <w:lang w:val="en-US" w:eastAsia="zh-CN"/>
              </w:rPr>
              <w:t>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24" w:type="dxa"/>
            <w:gridSpan w:val="4"/>
            <w:shd w:val="clear" w:color="auto" w:fill="C5D9F0"/>
          </w:tcPr>
          <w:p>
            <w:pPr>
              <w:pStyle w:val="10"/>
              <w:spacing w:before="147"/>
              <w:ind w:left="3445" w:right="3429"/>
              <w:jc w:val="center"/>
              <w:rPr>
                <w:rFonts w:hint="eastAsia" w:ascii="黑体" w:eastAsia="黑体"/>
                <w:sz w:val="21"/>
              </w:rPr>
            </w:pPr>
            <w:r>
              <w:rPr>
                <w:rFonts w:hint="eastAsia" w:ascii="黑体" w:eastAsia="黑体"/>
                <w:sz w:val="21"/>
              </w:rPr>
              <w:t>第二十条第（五）项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206" w:type="dxa"/>
          </w:tcPr>
          <w:p>
            <w:pPr>
              <w:pStyle w:val="10"/>
              <w:spacing w:before="148"/>
              <w:ind w:right="664"/>
              <w:jc w:val="right"/>
              <w:rPr>
                <w:sz w:val="21"/>
              </w:rPr>
            </w:pPr>
            <w:r>
              <w:rPr>
                <w:w w:val="95"/>
                <w:sz w:val="21"/>
              </w:rPr>
              <w:t>信息内容</w:t>
            </w:r>
          </w:p>
        </w:tc>
        <w:tc>
          <w:tcPr>
            <w:tcW w:w="6618" w:type="dxa"/>
            <w:gridSpan w:val="3"/>
          </w:tcPr>
          <w:p>
            <w:pPr>
              <w:pStyle w:val="10"/>
              <w:spacing w:before="148"/>
              <w:ind w:left="2448" w:right="2430"/>
              <w:jc w:val="center"/>
              <w:rPr>
                <w:sz w:val="21"/>
              </w:rPr>
            </w:pPr>
            <w:r>
              <w:rPr>
                <w:sz w:val="21"/>
              </w:rPr>
              <w:t>本年处理决定数量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2206" w:type="dxa"/>
          </w:tcPr>
          <w:p>
            <w:pPr>
              <w:pStyle w:val="10"/>
              <w:spacing w:before="149"/>
              <w:ind w:left="108"/>
              <w:rPr>
                <w:sz w:val="21"/>
              </w:rPr>
            </w:pPr>
            <w:r>
              <w:rPr>
                <w:sz w:val="21"/>
              </w:rPr>
              <w:t>行政许可</w:t>
            </w:r>
          </w:p>
        </w:tc>
        <w:tc>
          <w:tcPr>
            <w:tcW w:w="6618" w:type="dxa"/>
            <w:gridSpan w:val="3"/>
          </w:tcPr>
          <w:p>
            <w:pPr>
              <w:pStyle w:val="10"/>
              <w:jc w:val="center"/>
              <w:rPr>
                <w:rFonts w:hint="default" w:ascii="Times New Roman" w:eastAsia="仿宋_GB2312"/>
                <w:sz w:val="22"/>
                <w:lang w:val="en-US" w:eastAsia="zh-CN"/>
              </w:rPr>
            </w:pPr>
            <w:r>
              <w:rPr>
                <w:rFonts w:hint="eastAsia" w:ascii="Times New Roman"/>
                <w:sz w:val="22"/>
                <w:lang w:val="en-US" w:eastAsia="zh-CN"/>
              </w:rPr>
              <w:t>27328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8824" w:type="dxa"/>
            <w:gridSpan w:val="4"/>
            <w:shd w:val="clear" w:color="auto" w:fill="C5D9F0"/>
          </w:tcPr>
          <w:p>
            <w:pPr>
              <w:pStyle w:val="10"/>
              <w:spacing w:before="148"/>
              <w:ind w:left="3445" w:right="3429"/>
              <w:jc w:val="center"/>
              <w:rPr>
                <w:rFonts w:hint="eastAsia" w:ascii="黑体" w:eastAsia="黑体"/>
                <w:sz w:val="21"/>
              </w:rPr>
            </w:pPr>
            <w:r>
              <w:rPr>
                <w:rFonts w:hint="eastAsia" w:ascii="黑体" w:eastAsia="黑体"/>
                <w:sz w:val="21"/>
              </w:rPr>
              <w:t>第二十条第（六）项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206" w:type="dxa"/>
          </w:tcPr>
          <w:p>
            <w:pPr>
              <w:pStyle w:val="10"/>
              <w:spacing w:before="149"/>
              <w:ind w:right="664"/>
              <w:jc w:val="right"/>
              <w:rPr>
                <w:sz w:val="21"/>
              </w:rPr>
            </w:pPr>
            <w:r>
              <w:rPr>
                <w:w w:val="95"/>
                <w:sz w:val="21"/>
              </w:rPr>
              <w:t>信息内容</w:t>
            </w:r>
          </w:p>
        </w:tc>
        <w:tc>
          <w:tcPr>
            <w:tcW w:w="6618" w:type="dxa"/>
            <w:gridSpan w:val="3"/>
          </w:tcPr>
          <w:p>
            <w:pPr>
              <w:pStyle w:val="10"/>
              <w:spacing w:before="149"/>
              <w:ind w:left="2448" w:right="2430"/>
              <w:jc w:val="center"/>
              <w:rPr>
                <w:sz w:val="21"/>
              </w:rPr>
            </w:pPr>
            <w:r>
              <w:rPr>
                <w:sz w:val="21"/>
              </w:rPr>
              <w:t>本年处理决定数量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206" w:type="dxa"/>
          </w:tcPr>
          <w:p>
            <w:pPr>
              <w:pStyle w:val="10"/>
              <w:spacing w:before="147"/>
              <w:ind w:left="108"/>
              <w:rPr>
                <w:sz w:val="21"/>
              </w:rPr>
            </w:pPr>
            <w:r>
              <w:rPr>
                <w:sz w:val="21"/>
              </w:rPr>
              <w:t>行政处罚</w:t>
            </w:r>
          </w:p>
        </w:tc>
        <w:tc>
          <w:tcPr>
            <w:tcW w:w="6618" w:type="dxa"/>
            <w:gridSpan w:val="3"/>
          </w:tcPr>
          <w:p>
            <w:pPr>
              <w:pStyle w:val="10"/>
              <w:jc w:val="center"/>
              <w:rPr>
                <w:rFonts w:hint="default" w:ascii="Times New Roman" w:eastAsia="仿宋_GB2312"/>
                <w:sz w:val="22"/>
                <w:lang w:val="en-US" w:eastAsia="zh-CN"/>
              </w:rPr>
            </w:pPr>
            <w:r>
              <w:rPr>
                <w:rFonts w:hint="eastAsia" w:ascii="Times New Roman"/>
                <w:sz w:val="22"/>
                <w:lang w:val="en-US" w:eastAsia="zh-CN"/>
              </w:rPr>
              <w:t>1726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2206" w:type="dxa"/>
          </w:tcPr>
          <w:p>
            <w:pPr>
              <w:pStyle w:val="10"/>
              <w:spacing w:before="148"/>
              <w:ind w:left="108"/>
              <w:rPr>
                <w:sz w:val="21"/>
              </w:rPr>
            </w:pPr>
            <w:r>
              <w:rPr>
                <w:sz w:val="21"/>
              </w:rPr>
              <w:t>行政强制</w:t>
            </w:r>
          </w:p>
        </w:tc>
        <w:tc>
          <w:tcPr>
            <w:tcW w:w="6618" w:type="dxa"/>
            <w:gridSpan w:val="3"/>
          </w:tcPr>
          <w:p>
            <w:pPr>
              <w:pStyle w:val="10"/>
              <w:jc w:val="center"/>
              <w:rPr>
                <w:rFonts w:hint="default" w:ascii="Times New Roman" w:eastAsia="仿宋_GB2312"/>
                <w:sz w:val="22"/>
                <w:lang w:val="en-US" w:eastAsia="zh-CN"/>
              </w:rPr>
            </w:pPr>
            <w:r>
              <w:rPr>
                <w:rFonts w:hint="eastAsia" w:ascii="Times New Roman"/>
                <w:sz w:val="22"/>
                <w:lang w:val="en-US" w:eastAsia="zh-CN"/>
              </w:rPr>
              <w:t>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824" w:type="dxa"/>
            <w:gridSpan w:val="4"/>
            <w:shd w:val="clear" w:color="auto" w:fill="C5D9F0"/>
          </w:tcPr>
          <w:p>
            <w:pPr>
              <w:pStyle w:val="10"/>
              <w:spacing w:before="147"/>
              <w:ind w:left="3445" w:right="3429"/>
              <w:jc w:val="center"/>
              <w:rPr>
                <w:rFonts w:hint="eastAsia" w:ascii="黑体" w:eastAsia="黑体"/>
                <w:sz w:val="21"/>
              </w:rPr>
            </w:pPr>
            <w:r>
              <w:rPr>
                <w:rFonts w:hint="eastAsia" w:ascii="黑体" w:eastAsia="黑体"/>
                <w:sz w:val="21"/>
              </w:rPr>
              <w:t>第二十条第（八）项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2206" w:type="dxa"/>
          </w:tcPr>
          <w:p>
            <w:pPr>
              <w:pStyle w:val="10"/>
              <w:spacing w:before="148"/>
              <w:ind w:right="664"/>
              <w:jc w:val="right"/>
              <w:rPr>
                <w:sz w:val="21"/>
              </w:rPr>
            </w:pPr>
            <w:r>
              <w:rPr>
                <w:w w:val="95"/>
                <w:sz w:val="21"/>
              </w:rPr>
              <w:t>信息内容</w:t>
            </w:r>
          </w:p>
        </w:tc>
        <w:tc>
          <w:tcPr>
            <w:tcW w:w="6618" w:type="dxa"/>
            <w:gridSpan w:val="3"/>
          </w:tcPr>
          <w:p>
            <w:pPr>
              <w:pStyle w:val="10"/>
              <w:spacing w:before="148"/>
              <w:ind w:left="1943"/>
              <w:rPr>
                <w:sz w:val="21"/>
              </w:rPr>
            </w:pPr>
            <w:r>
              <w:rPr>
                <w:sz w:val="21"/>
              </w:rPr>
              <w:t>本年收费金额（单位：万元）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206" w:type="dxa"/>
          </w:tcPr>
          <w:p>
            <w:pPr>
              <w:pStyle w:val="10"/>
              <w:spacing w:before="149"/>
              <w:ind w:left="108"/>
              <w:rPr>
                <w:sz w:val="21"/>
              </w:rPr>
            </w:pPr>
            <w:r>
              <w:rPr>
                <w:sz w:val="21"/>
              </w:rPr>
              <w:t>行政事业性收费</w:t>
            </w:r>
          </w:p>
        </w:tc>
        <w:tc>
          <w:tcPr>
            <w:tcW w:w="6618" w:type="dxa"/>
            <w:gridSpan w:val="3"/>
          </w:tcPr>
          <w:p>
            <w:pPr>
              <w:pStyle w:val="10"/>
              <w:jc w:val="center"/>
              <w:rPr>
                <w:rFonts w:hint="default" w:ascii="Times New Roman" w:eastAsia="仿宋_GB2312"/>
                <w:sz w:val="22"/>
                <w:lang w:val="en-US" w:eastAsia="zh-CN"/>
              </w:rPr>
            </w:pPr>
            <w:r>
              <w:rPr>
                <w:rFonts w:hint="eastAsia" w:ascii="Times New Roman"/>
                <w:sz w:val="22"/>
                <w:lang w:val="en-US" w:eastAsia="zh-CN"/>
              </w:rPr>
              <w:t>761.572</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黑体" w:cs="Times New Roman"/>
          <w:i w:val="0"/>
          <w:caps w:val="0"/>
          <w:color w:val="000000"/>
          <w:spacing w:val="-8"/>
          <w:sz w:val="32"/>
          <w:szCs w:val="32"/>
        </w:rPr>
      </w:pP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黑体" w:cs="Times New Roman"/>
          <w:i w:val="0"/>
          <w:caps w:val="0"/>
          <w:color w:val="000000"/>
          <w:spacing w:val="-8"/>
          <w:sz w:val="32"/>
          <w:szCs w:val="32"/>
        </w:rPr>
      </w:pPr>
      <w:r>
        <w:rPr>
          <w:rFonts w:hint="default" w:ascii="Times New Roman" w:hAnsi="Times New Roman" w:eastAsia="黑体" w:cs="Times New Roman"/>
          <w:i w:val="0"/>
          <w:caps w:val="0"/>
          <w:color w:val="000000"/>
          <w:spacing w:val="-8"/>
          <w:sz w:val="32"/>
          <w:szCs w:val="32"/>
        </w:rPr>
        <w:t>行政机关收到和处理政府信息公开申请情况</w:t>
      </w:r>
    </w:p>
    <w:tbl>
      <w:tblPr>
        <w:tblStyle w:val="6"/>
        <w:tblW w:w="9913" w:type="dxa"/>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5093" w:type="dxa"/>
            <w:gridSpan w:val="3"/>
            <w:vMerge w:val="restart"/>
            <w:tcBorders>
              <w:bottom w:val="single" w:color="000000" w:sz="4" w:space="0"/>
              <w:right w:val="single" w:color="000000" w:sz="4" w:space="0"/>
            </w:tcBorders>
          </w:tcPr>
          <w:p>
            <w:pPr>
              <w:pStyle w:val="10"/>
              <w:spacing w:before="15"/>
              <w:rPr>
                <w:rFonts w:ascii="方正小标宋简体"/>
                <w:sz w:val="25"/>
              </w:rPr>
            </w:pPr>
          </w:p>
          <w:p>
            <w:pPr>
              <w:pStyle w:val="10"/>
              <w:spacing w:line="278" w:lineRule="auto"/>
              <w:ind w:left="1286" w:right="222" w:hanging="1052"/>
              <w:rPr>
                <w:rFonts w:hint="eastAsia" w:ascii="宋体" w:eastAsia="宋体"/>
                <w:sz w:val="21"/>
              </w:rPr>
            </w:pPr>
            <w:r>
              <w:rPr>
                <w:rFonts w:hint="eastAsia" w:ascii="宋体" w:eastAsia="宋体"/>
                <w:w w:val="95"/>
                <w:sz w:val="21"/>
              </w:rPr>
              <w:t xml:space="preserve">（本列数据的勾稽关系为：第一项加第二项之和， </w:t>
            </w:r>
            <w:r>
              <w:rPr>
                <w:rFonts w:hint="eastAsia" w:ascii="宋体" w:eastAsia="宋体"/>
                <w:sz w:val="21"/>
              </w:rPr>
              <w:t>等于第三项加第四项之和）</w:t>
            </w:r>
          </w:p>
        </w:tc>
        <w:tc>
          <w:tcPr>
            <w:tcW w:w="4820" w:type="dxa"/>
            <w:gridSpan w:val="7"/>
            <w:tcBorders>
              <w:left w:val="single" w:color="000000" w:sz="4" w:space="0"/>
              <w:bottom w:val="single" w:color="000000" w:sz="4" w:space="0"/>
            </w:tcBorders>
          </w:tcPr>
          <w:p>
            <w:pPr>
              <w:pStyle w:val="10"/>
              <w:spacing w:before="93"/>
              <w:ind w:left="1868" w:right="1847"/>
              <w:jc w:val="center"/>
              <w:rPr>
                <w:rFonts w:hint="eastAsia" w:ascii="黑体" w:eastAsia="黑体"/>
                <w:sz w:val="21"/>
              </w:rPr>
            </w:pPr>
            <w:r>
              <w:rPr>
                <w:rFonts w:hint="eastAsia" w:ascii="黑体" w:eastAsia="黑体"/>
                <w:sz w:val="21"/>
              </w:rPr>
              <w:t>申请人情况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093" w:type="dxa"/>
            <w:gridSpan w:val="3"/>
            <w:vMerge w:val="continue"/>
            <w:tcBorders>
              <w:top w:val="nil"/>
              <w:bottom w:val="single" w:color="000000" w:sz="4" w:space="0"/>
              <w:right w:val="single" w:color="000000" w:sz="4" w:space="0"/>
            </w:tcBorders>
          </w:tcPr>
          <w:p>
            <w:pPr>
              <w:rPr>
                <w:sz w:val="2"/>
                <w:szCs w:val="2"/>
              </w:rPr>
            </w:pPr>
          </w:p>
        </w:tc>
        <w:tc>
          <w:tcPr>
            <w:tcW w:w="829" w:type="dxa"/>
            <w:vMerge w:val="restart"/>
            <w:tcBorders>
              <w:top w:val="single" w:color="000000" w:sz="4" w:space="0"/>
              <w:left w:val="single" w:color="000000" w:sz="4" w:space="0"/>
              <w:bottom w:val="single" w:color="000000" w:sz="4" w:space="0"/>
              <w:right w:val="single" w:color="000000" w:sz="4" w:space="0"/>
            </w:tcBorders>
          </w:tcPr>
          <w:p>
            <w:pPr>
              <w:pStyle w:val="10"/>
              <w:spacing w:before="15"/>
              <w:rPr>
                <w:rFonts w:ascii="方正小标宋简体"/>
                <w:sz w:val="13"/>
              </w:rPr>
            </w:pPr>
          </w:p>
          <w:p>
            <w:pPr>
              <w:pStyle w:val="10"/>
              <w:spacing w:line="278" w:lineRule="auto"/>
              <w:ind w:left="314" w:right="190" w:hanging="106"/>
              <w:rPr>
                <w:rFonts w:hint="eastAsia" w:ascii="黑体" w:eastAsia="黑体"/>
                <w:sz w:val="21"/>
              </w:rPr>
            </w:pPr>
            <w:r>
              <w:rPr>
                <w:rFonts w:hint="eastAsia" w:ascii="黑体" w:eastAsia="黑体"/>
                <w:sz w:val="21"/>
              </w:rPr>
              <w:t>自然人</w:t>
            </w:r>
          </w:p>
        </w:tc>
        <w:tc>
          <w:tcPr>
            <w:tcW w:w="3140" w:type="dxa"/>
            <w:gridSpan w:val="5"/>
            <w:tcBorders>
              <w:top w:val="single" w:color="000000" w:sz="4" w:space="0"/>
              <w:left w:val="single" w:color="000000" w:sz="4" w:space="0"/>
              <w:bottom w:val="single" w:color="000000" w:sz="4" w:space="0"/>
              <w:right w:val="single" w:color="000000" w:sz="4" w:space="0"/>
            </w:tcBorders>
          </w:tcPr>
          <w:p>
            <w:pPr>
              <w:pStyle w:val="10"/>
              <w:spacing w:before="97"/>
              <w:ind w:left="839"/>
              <w:rPr>
                <w:rFonts w:hint="eastAsia" w:ascii="黑体" w:eastAsia="黑体"/>
                <w:sz w:val="21"/>
              </w:rPr>
            </w:pPr>
            <w:r>
              <w:rPr>
                <w:rFonts w:hint="eastAsia" w:ascii="黑体" w:eastAsia="黑体"/>
                <w:sz w:val="21"/>
              </w:rPr>
              <w:t>法人或其他组织</w:t>
            </w:r>
          </w:p>
        </w:tc>
        <w:tc>
          <w:tcPr>
            <w:tcW w:w="851" w:type="dxa"/>
            <w:vMerge w:val="restart"/>
            <w:tcBorders>
              <w:top w:val="single" w:color="000000" w:sz="4" w:space="0"/>
              <w:left w:val="single" w:color="000000" w:sz="4" w:space="0"/>
              <w:bottom w:val="single" w:color="000000" w:sz="4" w:space="0"/>
            </w:tcBorders>
          </w:tcPr>
          <w:p>
            <w:pPr>
              <w:pStyle w:val="10"/>
              <w:spacing w:before="12"/>
              <w:rPr>
                <w:rFonts w:ascii="方正小标宋简体"/>
                <w:sz w:val="22"/>
              </w:rPr>
            </w:pPr>
          </w:p>
          <w:p>
            <w:pPr>
              <w:pStyle w:val="10"/>
              <w:ind w:left="219"/>
              <w:rPr>
                <w:rFonts w:hint="eastAsia" w:ascii="黑体" w:eastAsia="黑体"/>
                <w:sz w:val="21"/>
              </w:rPr>
            </w:pPr>
            <w:r>
              <w:rPr>
                <w:rFonts w:hint="eastAsia" w:ascii="黑体" w:eastAsia="黑体"/>
                <w:sz w:val="21"/>
              </w:rPr>
              <w:t>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0" w:hRule="atLeast"/>
        </w:trPr>
        <w:tc>
          <w:tcPr>
            <w:tcW w:w="5093" w:type="dxa"/>
            <w:gridSpan w:val="3"/>
            <w:vMerge w:val="continue"/>
            <w:tcBorders>
              <w:top w:val="nil"/>
              <w:bottom w:val="single" w:color="000000" w:sz="4" w:space="0"/>
              <w:right w:val="single" w:color="000000" w:sz="4" w:space="0"/>
            </w:tcBorders>
          </w:tcPr>
          <w:p>
            <w:pPr>
              <w:rPr>
                <w:sz w:val="2"/>
                <w:szCs w:val="2"/>
              </w:rPr>
            </w:pPr>
          </w:p>
        </w:tc>
        <w:tc>
          <w:tcPr>
            <w:tcW w:w="829" w:type="dxa"/>
            <w:vMerge w:val="continue"/>
            <w:tcBorders>
              <w:top w:val="nil"/>
              <w:left w:val="single" w:color="000000" w:sz="4" w:space="0"/>
              <w:bottom w:val="single" w:color="000000" w:sz="4" w:space="0"/>
              <w:right w:val="single" w:color="000000" w:sz="4" w:space="0"/>
            </w:tcBorders>
          </w:tcPr>
          <w:p>
            <w:pPr>
              <w:rPr>
                <w:sz w:val="2"/>
                <w:szCs w:val="2"/>
              </w:rPr>
            </w:pPr>
          </w:p>
        </w:tc>
        <w:tc>
          <w:tcPr>
            <w:tcW w:w="567" w:type="dxa"/>
            <w:tcBorders>
              <w:top w:val="single" w:color="000000" w:sz="4" w:space="0"/>
              <w:left w:val="single" w:color="000000" w:sz="4" w:space="0"/>
              <w:bottom w:val="single" w:color="000000" w:sz="4" w:space="0"/>
              <w:right w:val="single" w:color="000000" w:sz="4" w:space="0"/>
            </w:tcBorders>
          </w:tcPr>
          <w:p>
            <w:pPr>
              <w:pStyle w:val="10"/>
              <w:spacing w:line="320" w:lineRule="exact"/>
              <w:ind w:left="78" w:right="58"/>
              <w:rPr>
                <w:rFonts w:hint="eastAsia" w:ascii="黑体" w:eastAsia="黑体"/>
                <w:sz w:val="21"/>
              </w:rPr>
            </w:pPr>
            <w:r>
              <w:rPr>
                <w:rFonts w:hint="eastAsia" w:ascii="黑体" w:eastAsia="黑体"/>
                <w:sz w:val="21"/>
              </w:rPr>
              <w:t>商业企业</w:t>
            </w:r>
          </w:p>
        </w:tc>
        <w:tc>
          <w:tcPr>
            <w:tcW w:w="567" w:type="dxa"/>
            <w:tcBorders>
              <w:top w:val="single" w:color="000000" w:sz="4" w:space="0"/>
              <w:left w:val="single" w:color="000000" w:sz="4" w:space="0"/>
              <w:bottom w:val="single" w:color="000000" w:sz="4" w:space="0"/>
              <w:right w:val="single" w:color="000000" w:sz="4" w:space="0"/>
            </w:tcBorders>
          </w:tcPr>
          <w:p>
            <w:pPr>
              <w:pStyle w:val="10"/>
              <w:spacing w:line="320" w:lineRule="exact"/>
              <w:ind w:left="77" w:right="59"/>
              <w:rPr>
                <w:rFonts w:hint="eastAsia" w:ascii="黑体" w:eastAsia="黑体"/>
                <w:sz w:val="21"/>
              </w:rPr>
            </w:pPr>
            <w:r>
              <w:rPr>
                <w:rFonts w:hint="eastAsia" w:ascii="黑体" w:eastAsia="黑体"/>
                <w:sz w:val="21"/>
              </w:rPr>
              <w:t>科研机构</w:t>
            </w:r>
          </w:p>
        </w:tc>
        <w:tc>
          <w:tcPr>
            <w:tcW w:w="731" w:type="dxa"/>
            <w:tcBorders>
              <w:top w:val="single" w:color="000000" w:sz="4" w:space="0"/>
              <w:left w:val="single" w:color="000000" w:sz="4" w:space="0"/>
              <w:bottom w:val="single" w:color="000000" w:sz="4" w:space="0"/>
              <w:right w:val="single" w:color="000000" w:sz="4" w:space="0"/>
            </w:tcBorders>
          </w:tcPr>
          <w:p>
            <w:pPr>
              <w:pStyle w:val="10"/>
              <w:spacing w:line="320" w:lineRule="exact"/>
              <w:ind w:left="55" w:right="34"/>
              <w:rPr>
                <w:rFonts w:hint="eastAsia" w:ascii="黑体" w:eastAsia="黑体"/>
                <w:sz w:val="21"/>
              </w:rPr>
            </w:pPr>
            <w:r>
              <w:rPr>
                <w:rFonts w:hint="eastAsia" w:ascii="黑体" w:eastAsia="黑体"/>
                <w:sz w:val="21"/>
              </w:rPr>
              <w:t>社会公益组织</w:t>
            </w:r>
          </w:p>
        </w:tc>
        <w:tc>
          <w:tcPr>
            <w:tcW w:w="708" w:type="dxa"/>
            <w:tcBorders>
              <w:top w:val="single" w:color="000000" w:sz="4" w:space="0"/>
              <w:left w:val="single" w:color="000000" w:sz="4" w:space="0"/>
              <w:bottom w:val="single" w:color="000000" w:sz="4" w:space="0"/>
              <w:right w:val="single" w:color="000000" w:sz="4" w:space="0"/>
            </w:tcBorders>
          </w:tcPr>
          <w:p>
            <w:pPr>
              <w:pStyle w:val="10"/>
              <w:spacing w:line="320" w:lineRule="exact"/>
              <w:ind w:left="44" w:right="22"/>
              <w:rPr>
                <w:rFonts w:hint="eastAsia" w:ascii="黑体" w:eastAsia="黑体"/>
                <w:sz w:val="21"/>
              </w:rPr>
            </w:pPr>
            <w:r>
              <w:rPr>
                <w:rFonts w:hint="eastAsia" w:ascii="黑体" w:eastAsia="黑体"/>
                <w:sz w:val="21"/>
              </w:rPr>
              <w:t>法律服务机构</w:t>
            </w:r>
          </w:p>
        </w:tc>
        <w:tc>
          <w:tcPr>
            <w:tcW w:w="567" w:type="dxa"/>
            <w:tcBorders>
              <w:top w:val="single" w:color="000000" w:sz="4" w:space="0"/>
              <w:left w:val="single" w:color="000000" w:sz="4" w:space="0"/>
              <w:bottom w:val="single" w:color="000000" w:sz="4" w:space="0"/>
              <w:right w:val="single" w:color="000000" w:sz="4" w:space="0"/>
            </w:tcBorders>
          </w:tcPr>
          <w:p>
            <w:pPr>
              <w:pStyle w:val="10"/>
              <w:spacing w:before="6"/>
              <w:rPr>
                <w:rFonts w:ascii="方正小标宋简体"/>
                <w:sz w:val="12"/>
              </w:rPr>
            </w:pPr>
          </w:p>
          <w:p>
            <w:pPr>
              <w:pStyle w:val="10"/>
              <w:ind w:left="114"/>
              <w:rPr>
                <w:rFonts w:hint="eastAsia" w:ascii="黑体" w:eastAsia="黑体"/>
                <w:sz w:val="21"/>
              </w:rPr>
            </w:pPr>
            <w:r>
              <w:rPr>
                <w:rFonts w:hint="eastAsia" w:ascii="黑体" w:eastAsia="黑体"/>
                <w:sz w:val="21"/>
              </w:rPr>
              <w:t>其他</w:t>
            </w:r>
          </w:p>
        </w:tc>
        <w:tc>
          <w:tcPr>
            <w:tcW w:w="85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1" w:hRule="atLeast"/>
        </w:trPr>
        <w:tc>
          <w:tcPr>
            <w:tcW w:w="5093" w:type="dxa"/>
            <w:gridSpan w:val="3"/>
            <w:tcBorders>
              <w:top w:val="single" w:color="000000" w:sz="4" w:space="0"/>
              <w:bottom w:val="single" w:color="000000" w:sz="4" w:space="0"/>
              <w:right w:val="single" w:color="000000" w:sz="4" w:space="0"/>
            </w:tcBorders>
          </w:tcPr>
          <w:p>
            <w:pPr>
              <w:pStyle w:val="10"/>
              <w:spacing w:before="111"/>
              <w:ind w:left="108"/>
              <w:rPr>
                <w:rFonts w:hint="eastAsia" w:ascii="黑体" w:eastAsia="黑体"/>
                <w:sz w:val="21"/>
              </w:rPr>
            </w:pPr>
            <w:r>
              <w:rPr>
                <w:rFonts w:hint="eastAsia" w:ascii="黑体" w:eastAsia="黑体"/>
                <w:sz w:val="21"/>
              </w:rPr>
              <w:t>一、本年新收政府信息公开申请数量</w:t>
            </w:r>
          </w:p>
        </w:tc>
        <w:tc>
          <w:tcPr>
            <w:tcW w:w="829" w:type="dxa"/>
            <w:tcBorders>
              <w:top w:val="single" w:color="000000" w:sz="4" w:space="0"/>
              <w:left w:val="single" w:color="000000" w:sz="4" w:space="0"/>
              <w:bottom w:val="single" w:color="000000" w:sz="4" w:space="0"/>
              <w:right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68</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2" w:hRule="atLeast"/>
        </w:trPr>
        <w:tc>
          <w:tcPr>
            <w:tcW w:w="5093" w:type="dxa"/>
            <w:gridSpan w:val="3"/>
            <w:tcBorders>
              <w:top w:val="single" w:color="000000" w:sz="4" w:space="0"/>
              <w:bottom w:val="single" w:color="auto" w:sz="4" w:space="0"/>
              <w:right w:val="single" w:color="000000" w:sz="4" w:space="0"/>
            </w:tcBorders>
          </w:tcPr>
          <w:p>
            <w:pPr>
              <w:pStyle w:val="10"/>
              <w:spacing w:before="111"/>
              <w:ind w:left="108"/>
              <w:rPr>
                <w:rFonts w:hint="eastAsia" w:ascii="黑体" w:eastAsia="黑体"/>
                <w:sz w:val="21"/>
              </w:rPr>
            </w:pPr>
            <w:r>
              <w:rPr>
                <w:rFonts w:hint="eastAsia" w:ascii="黑体" w:eastAsia="黑体"/>
                <w:sz w:val="21"/>
              </w:rPr>
              <w:t>二、上年结转政府信息公开申请数量</w:t>
            </w:r>
          </w:p>
        </w:tc>
        <w:tc>
          <w:tcPr>
            <w:tcW w:w="829"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6" w:hRule="atLeast"/>
        </w:trPr>
        <w:tc>
          <w:tcPr>
            <w:tcW w:w="416" w:type="dxa"/>
            <w:vMerge w:val="restart"/>
            <w:tcBorders>
              <w:top w:val="single" w:color="auto" w:sz="4" w:space="0"/>
              <w:left w:val="single" w:color="auto" w:sz="4" w:space="0"/>
              <w:bottom w:val="single" w:color="auto" w:sz="4" w:space="0"/>
              <w:right w:val="single" w:color="auto" w:sz="4" w:space="0"/>
            </w:tcBorders>
          </w:tcPr>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spacing w:before="15"/>
              <w:rPr>
                <w:rFonts w:ascii="方正小标宋简体"/>
                <w:sz w:val="13"/>
              </w:rPr>
            </w:pPr>
          </w:p>
          <w:p>
            <w:pPr>
              <w:pStyle w:val="10"/>
              <w:ind w:left="108"/>
              <w:rPr>
                <w:rFonts w:hint="eastAsia" w:ascii="黑体" w:eastAsia="黑体"/>
                <w:sz w:val="21"/>
              </w:rPr>
            </w:pPr>
            <w:r>
              <w:rPr>
                <w:rFonts w:hint="eastAsia" w:ascii="黑体" w:eastAsia="黑体"/>
                <w:w w:val="99"/>
                <w:sz w:val="21"/>
              </w:rPr>
              <w:t>三</w:t>
            </w:r>
          </w:p>
          <w:p>
            <w:pPr>
              <w:pStyle w:val="10"/>
              <w:spacing w:before="43" w:line="278" w:lineRule="auto"/>
              <w:ind w:left="108" w:right="81"/>
              <w:jc w:val="both"/>
              <w:rPr>
                <w:rFonts w:hint="eastAsia" w:ascii="黑体" w:eastAsia="黑体"/>
                <w:sz w:val="21"/>
              </w:rPr>
            </w:pPr>
            <w:r>
              <w:rPr>
                <w:rFonts w:hint="eastAsia" w:ascii="黑体" w:eastAsia="黑体"/>
                <w:sz w:val="21"/>
              </w:rPr>
              <w:t>、本年度办理结果</w:t>
            </w:r>
          </w:p>
        </w:tc>
        <w:tc>
          <w:tcPr>
            <w:tcW w:w="4677" w:type="dxa"/>
            <w:gridSpan w:val="2"/>
            <w:tcBorders>
              <w:top w:val="single" w:color="auto" w:sz="4" w:space="0"/>
              <w:left w:val="single" w:color="auto" w:sz="4" w:space="0"/>
              <w:bottom w:val="single" w:color="auto" w:sz="4" w:space="0"/>
              <w:right w:val="single" w:color="auto" w:sz="4" w:space="0"/>
            </w:tcBorders>
          </w:tcPr>
          <w:p>
            <w:pPr>
              <w:pStyle w:val="10"/>
              <w:spacing w:before="110"/>
              <w:ind w:left="112"/>
              <w:rPr>
                <w:rFonts w:hint="eastAsia" w:ascii="黑体" w:eastAsia="黑体"/>
                <w:sz w:val="21"/>
              </w:rPr>
            </w:pPr>
            <w:r>
              <w:rPr>
                <w:rFonts w:hint="eastAsia" w:ascii="黑体" w:eastAsia="黑体"/>
                <w:sz w:val="21"/>
              </w:rPr>
              <w:t>（一）予以公开</w:t>
            </w:r>
          </w:p>
        </w:tc>
        <w:tc>
          <w:tcPr>
            <w:tcW w:w="829" w:type="dxa"/>
            <w:tcBorders>
              <w:top w:val="single" w:color="000000" w:sz="4" w:space="0"/>
              <w:left w:val="single" w:color="auto" w:sz="4" w:space="0"/>
              <w:bottom w:val="single" w:color="000000" w:sz="4" w:space="0"/>
              <w:right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40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4677" w:type="dxa"/>
            <w:gridSpan w:val="2"/>
            <w:tcBorders>
              <w:top w:val="single" w:color="auto" w:sz="4" w:space="0"/>
              <w:left w:val="single" w:color="auto" w:sz="4" w:space="0"/>
              <w:bottom w:val="single" w:color="auto" w:sz="4" w:space="0"/>
              <w:right w:val="single" w:color="auto" w:sz="4" w:space="0"/>
            </w:tcBorders>
          </w:tcPr>
          <w:p>
            <w:pPr>
              <w:pStyle w:val="10"/>
              <w:spacing w:before="16"/>
              <w:ind w:left="112"/>
              <w:rPr>
                <w:rFonts w:hint="eastAsia" w:ascii="黑体" w:eastAsia="黑体"/>
                <w:sz w:val="21"/>
              </w:rPr>
            </w:pPr>
            <w:r>
              <w:rPr>
                <w:rFonts w:hint="eastAsia" w:ascii="黑体" w:eastAsia="黑体"/>
                <w:sz w:val="21"/>
              </w:rPr>
              <w:t>（二）部分公开（区分处理的，只计这一情形，</w:t>
            </w:r>
          </w:p>
          <w:p>
            <w:pPr>
              <w:pStyle w:val="10"/>
              <w:spacing w:before="43" w:line="266" w:lineRule="exact"/>
              <w:ind w:left="112"/>
              <w:rPr>
                <w:rFonts w:hint="eastAsia" w:ascii="黑体" w:eastAsia="黑体"/>
                <w:sz w:val="21"/>
              </w:rPr>
            </w:pPr>
            <w:r>
              <w:rPr>
                <w:rFonts w:hint="eastAsia" w:ascii="黑体" w:eastAsia="黑体"/>
                <w:sz w:val="21"/>
              </w:rPr>
              <w:t>不计其他情形）</w:t>
            </w:r>
          </w:p>
        </w:tc>
        <w:tc>
          <w:tcPr>
            <w:tcW w:w="829" w:type="dxa"/>
            <w:tcBorders>
              <w:top w:val="single" w:color="000000" w:sz="4" w:space="0"/>
              <w:left w:val="single" w:color="auto" w:sz="4" w:space="0"/>
              <w:bottom w:val="single" w:color="000000" w:sz="4" w:space="0"/>
              <w:right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10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restart"/>
            <w:tcBorders>
              <w:top w:val="single" w:color="auto" w:sz="4" w:space="0"/>
              <w:left w:val="single" w:color="auto" w:sz="4" w:space="0"/>
              <w:bottom w:val="single" w:color="auto" w:sz="4" w:space="0"/>
              <w:right w:val="single" w:color="auto" w:sz="4" w:space="0"/>
            </w:tcBorders>
          </w:tcPr>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rPr>
                <w:rFonts w:ascii="方正小标宋简体"/>
                <w:sz w:val="20"/>
              </w:rPr>
            </w:pPr>
          </w:p>
          <w:p>
            <w:pPr>
              <w:pStyle w:val="10"/>
              <w:spacing w:before="9"/>
              <w:rPr>
                <w:rFonts w:ascii="方正小标宋简体"/>
                <w:sz w:val="13"/>
              </w:rPr>
            </w:pPr>
          </w:p>
          <w:p>
            <w:pPr>
              <w:pStyle w:val="10"/>
              <w:ind w:left="4"/>
              <w:rPr>
                <w:rFonts w:hint="eastAsia" w:ascii="黑体" w:eastAsia="黑体"/>
                <w:sz w:val="21"/>
              </w:rPr>
            </w:pPr>
            <w:r>
              <w:rPr>
                <w:rFonts w:hint="eastAsia" w:ascii="黑体" w:eastAsia="黑体"/>
                <w:sz w:val="21"/>
              </w:rPr>
              <w:t>（三）不予公开</w:t>
            </w:r>
          </w:p>
        </w:tc>
        <w:tc>
          <w:tcPr>
            <w:tcW w:w="2976" w:type="dxa"/>
            <w:tcBorders>
              <w:top w:val="single" w:color="auto" w:sz="4" w:space="0"/>
              <w:left w:val="single" w:color="auto" w:sz="4" w:space="0"/>
              <w:bottom w:val="single" w:color="auto" w:sz="4" w:space="0"/>
              <w:right w:val="single" w:color="auto" w:sz="4" w:space="0"/>
            </w:tcBorders>
          </w:tcPr>
          <w:p>
            <w:pPr>
              <w:pStyle w:val="10"/>
              <w:spacing w:before="66"/>
              <w:ind w:left="113"/>
              <w:rPr>
                <w:sz w:val="21"/>
              </w:rPr>
            </w:pPr>
            <w:r>
              <w:rPr>
                <w:sz w:val="21"/>
              </w:rPr>
              <w:t>1.属于国家秘密</w:t>
            </w:r>
          </w:p>
        </w:tc>
        <w:tc>
          <w:tcPr>
            <w:tcW w:w="829" w:type="dxa"/>
            <w:tcBorders>
              <w:top w:val="single" w:color="000000" w:sz="4" w:space="0"/>
              <w:left w:val="single" w:color="auto"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8"/>
              <w:ind w:left="113"/>
              <w:rPr>
                <w:sz w:val="21"/>
              </w:rPr>
            </w:pPr>
            <w:r>
              <w:rPr>
                <w:sz w:val="21"/>
              </w:rPr>
              <w:t>2.其他法律行政法规禁止公开</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8"/>
              <w:ind w:left="113"/>
              <w:rPr>
                <w:sz w:val="21"/>
              </w:rPr>
            </w:pPr>
            <w:r>
              <w:rPr>
                <w:sz w:val="21"/>
              </w:rPr>
              <w:t>3.危及“三安全一稳定”</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7"/>
              <w:ind w:left="113"/>
              <w:rPr>
                <w:sz w:val="21"/>
              </w:rPr>
            </w:pPr>
            <w:r>
              <w:rPr>
                <w:sz w:val="21"/>
              </w:rPr>
              <w:t>4.保护第三方合法权益</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7"/>
              <w:ind w:left="113"/>
              <w:rPr>
                <w:sz w:val="21"/>
              </w:rPr>
            </w:pPr>
            <w:r>
              <w:rPr>
                <w:sz w:val="21"/>
              </w:rPr>
              <w:t>5.属于三类内部事务信息</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6"/>
              <w:ind w:left="113"/>
              <w:rPr>
                <w:sz w:val="21"/>
              </w:rPr>
            </w:pPr>
            <w:r>
              <w:rPr>
                <w:sz w:val="21"/>
              </w:rPr>
              <w:t>6.属于四类过程性信息</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6"/>
              <w:ind w:left="113"/>
              <w:rPr>
                <w:sz w:val="21"/>
              </w:rPr>
            </w:pPr>
            <w:r>
              <w:rPr>
                <w:sz w:val="21"/>
              </w:rPr>
              <w:t>7.属于行政执法案卷</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8"/>
              <w:ind w:left="113"/>
              <w:rPr>
                <w:sz w:val="21"/>
              </w:rPr>
            </w:pPr>
            <w:r>
              <w:rPr>
                <w:sz w:val="21"/>
              </w:rPr>
              <w:t>8.属于行政查询事项</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restart"/>
            <w:tcBorders>
              <w:top w:val="single" w:color="auto" w:sz="4" w:space="0"/>
              <w:left w:val="single" w:color="auto" w:sz="4" w:space="0"/>
              <w:bottom w:val="single" w:color="auto" w:sz="4" w:space="0"/>
              <w:right w:val="single" w:color="auto" w:sz="4" w:space="0"/>
            </w:tcBorders>
          </w:tcPr>
          <w:p>
            <w:pPr>
              <w:pStyle w:val="10"/>
              <w:spacing w:before="8"/>
              <w:rPr>
                <w:rFonts w:ascii="方正小标宋简体"/>
                <w:sz w:val="29"/>
              </w:rPr>
            </w:pPr>
          </w:p>
          <w:p>
            <w:pPr>
              <w:pStyle w:val="10"/>
              <w:ind w:left="4"/>
              <w:rPr>
                <w:rFonts w:hint="eastAsia" w:ascii="黑体" w:eastAsia="黑体"/>
                <w:sz w:val="21"/>
              </w:rPr>
            </w:pPr>
            <w:r>
              <w:rPr>
                <w:rFonts w:hint="eastAsia" w:ascii="黑体" w:eastAsia="黑体"/>
                <w:sz w:val="21"/>
              </w:rPr>
              <w:t>（四）无法提供</w:t>
            </w:r>
          </w:p>
        </w:tc>
        <w:tc>
          <w:tcPr>
            <w:tcW w:w="2976" w:type="dxa"/>
            <w:tcBorders>
              <w:top w:val="single" w:color="auto" w:sz="4" w:space="0"/>
              <w:left w:val="single" w:color="auto" w:sz="4" w:space="0"/>
              <w:bottom w:val="single" w:color="auto" w:sz="4" w:space="0"/>
              <w:right w:val="single" w:color="auto" w:sz="4" w:space="0"/>
            </w:tcBorders>
          </w:tcPr>
          <w:p>
            <w:pPr>
              <w:pStyle w:val="10"/>
              <w:spacing w:before="67"/>
              <w:ind w:left="113"/>
              <w:rPr>
                <w:sz w:val="21"/>
              </w:rPr>
            </w:pPr>
            <w:r>
              <w:rPr>
                <w:sz w:val="21"/>
              </w:rPr>
              <w:t>1.本机关不掌握相关政府信息</w:t>
            </w:r>
          </w:p>
        </w:tc>
        <w:tc>
          <w:tcPr>
            <w:tcW w:w="829" w:type="dxa"/>
            <w:tcBorders>
              <w:top w:val="single" w:color="000000" w:sz="4" w:space="0"/>
              <w:left w:val="single" w:color="auto" w:sz="4" w:space="0"/>
              <w:bottom w:val="single" w:color="000000" w:sz="4" w:space="0"/>
              <w:right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7</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7"/>
              <w:ind w:left="113"/>
              <w:rPr>
                <w:sz w:val="21"/>
              </w:rPr>
            </w:pPr>
            <w:r>
              <w:rPr>
                <w:sz w:val="21"/>
              </w:rPr>
              <w:t>2.没有现成信息需要另行制作</w:t>
            </w:r>
          </w:p>
        </w:tc>
        <w:tc>
          <w:tcPr>
            <w:tcW w:w="829" w:type="dxa"/>
            <w:tcBorders>
              <w:top w:val="single" w:color="000000" w:sz="4" w:space="0"/>
              <w:left w:val="single" w:color="auto" w:sz="4" w:space="0"/>
              <w:bottom w:val="single" w:color="000000" w:sz="4" w:space="0"/>
              <w:right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4</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7"/>
              <w:ind w:left="113"/>
              <w:rPr>
                <w:sz w:val="21"/>
              </w:rPr>
            </w:pPr>
            <w:r>
              <w:rPr>
                <w:sz w:val="21"/>
              </w:rPr>
              <w:t>3.补正后申请内容仍不明确</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restart"/>
            <w:tcBorders>
              <w:top w:val="single" w:color="auto" w:sz="4" w:space="0"/>
              <w:left w:val="single" w:color="auto" w:sz="4" w:space="0"/>
              <w:bottom w:val="single" w:color="auto" w:sz="4" w:space="0"/>
              <w:right w:val="single" w:color="auto" w:sz="4" w:space="0"/>
            </w:tcBorders>
          </w:tcPr>
          <w:p>
            <w:pPr>
              <w:pStyle w:val="10"/>
              <w:rPr>
                <w:rFonts w:ascii="方正小标宋简体"/>
                <w:sz w:val="20"/>
              </w:rPr>
            </w:pPr>
          </w:p>
          <w:p>
            <w:pPr>
              <w:pStyle w:val="10"/>
              <w:rPr>
                <w:rFonts w:ascii="方正小标宋简体"/>
                <w:sz w:val="20"/>
              </w:rPr>
            </w:pPr>
          </w:p>
          <w:p>
            <w:pPr>
              <w:pStyle w:val="10"/>
              <w:spacing w:before="15"/>
              <w:rPr>
                <w:rFonts w:ascii="方正小标宋简体"/>
                <w:sz w:val="17"/>
              </w:rPr>
            </w:pPr>
          </w:p>
          <w:p>
            <w:pPr>
              <w:pStyle w:val="10"/>
              <w:ind w:left="4"/>
              <w:rPr>
                <w:rFonts w:hint="eastAsia" w:ascii="黑体" w:eastAsia="黑体"/>
                <w:sz w:val="21"/>
              </w:rPr>
            </w:pPr>
            <w:r>
              <w:rPr>
                <w:rFonts w:hint="eastAsia" w:ascii="黑体" w:eastAsia="黑体"/>
                <w:sz w:val="21"/>
              </w:rPr>
              <w:t>（五）不予处理</w:t>
            </w:r>
          </w:p>
        </w:tc>
        <w:tc>
          <w:tcPr>
            <w:tcW w:w="2976" w:type="dxa"/>
            <w:tcBorders>
              <w:top w:val="single" w:color="auto" w:sz="4" w:space="0"/>
              <w:left w:val="single" w:color="auto" w:sz="4" w:space="0"/>
              <w:bottom w:val="single" w:color="auto" w:sz="4" w:space="0"/>
              <w:right w:val="single" w:color="auto" w:sz="4" w:space="0"/>
            </w:tcBorders>
          </w:tcPr>
          <w:p>
            <w:pPr>
              <w:pStyle w:val="10"/>
              <w:spacing w:before="66"/>
              <w:ind w:left="113"/>
              <w:rPr>
                <w:sz w:val="21"/>
              </w:rPr>
            </w:pPr>
            <w:r>
              <w:rPr>
                <w:sz w:val="21"/>
              </w:rPr>
              <w:t>1.信访举报投诉类申请</w:t>
            </w:r>
          </w:p>
        </w:tc>
        <w:tc>
          <w:tcPr>
            <w:tcW w:w="829" w:type="dxa"/>
            <w:tcBorders>
              <w:top w:val="single" w:color="000000" w:sz="4" w:space="0"/>
              <w:left w:val="single" w:color="auto" w:sz="4" w:space="0"/>
              <w:bottom w:val="single" w:color="000000" w:sz="4" w:space="0"/>
              <w:right w:val="single" w:color="000000" w:sz="4" w:space="0"/>
            </w:tcBorders>
          </w:tcPr>
          <w:p>
            <w:pPr>
              <w:pStyle w:val="10"/>
              <w:jc w:val="center"/>
              <w:rPr>
                <w:rFonts w:hint="default" w:ascii="Times New Roman" w:eastAsia="仿宋_GB2312"/>
                <w:sz w:val="22"/>
                <w:lang w:val="en-US" w:eastAsia="zh-CN"/>
              </w:rPr>
            </w:pPr>
            <w:r>
              <w:rPr>
                <w:rFonts w:hint="eastAsia" w:ascii="Times New Roman"/>
                <w:sz w:val="22"/>
                <w:lang w:val="en-US" w:eastAsia="zh-CN"/>
              </w:rPr>
              <w:t>2</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pStyle w:val="10"/>
              <w:jc w:val="center"/>
              <w:rPr>
                <w:rFonts w:hint="eastAsia" w:ascii="Times New Roman" w:eastAsia="仿宋_GB2312"/>
                <w:sz w:val="22"/>
                <w:lang w:val="en-US" w:eastAsia="zh-CN"/>
              </w:rPr>
            </w:pPr>
            <w:r>
              <w:rPr>
                <w:rFonts w:hint="eastAsia" w:ascii="Times New Roman"/>
                <w:sz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4"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6"/>
              <w:ind w:left="113"/>
              <w:rPr>
                <w:sz w:val="21"/>
              </w:rPr>
            </w:pPr>
            <w:r>
              <w:rPr>
                <w:sz w:val="21"/>
              </w:rPr>
              <w:t>2.重复申请</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3"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68"/>
              <w:ind w:left="113"/>
              <w:rPr>
                <w:sz w:val="21"/>
              </w:rPr>
            </w:pPr>
            <w:r>
              <w:rPr>
                <w:sz w:val="21"/>
              </w:rPr>
              <w:t>3.要求提供公开出版物</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39"/>
              <w:ind w:left="113"/>
              <w:rPr>
                <w:sz w:val="21"/>
              </w:rPr>
            </w:pPr>
            <w:r>
              <w:rPr>
                <w:sz w:val="21"/>
              </w:rPr>
              <w:t>4.无正当理由大量反复申请</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26"/>
              <w:ind w:left="113"/>
              <w:rPr>
                <w:sz w:val="21"/>
              </w:rPr>
            </w:pPr>
            <w:r>
              <w:rPr>
                <w:sz w:val="21"/>
              </w:rPr>
              <w:t>5.要求行政机关确认或重新</w:t>
            </w:r>
          </w:p>
          <w:p>
            <w:pPr>
              <w:pStyle w:val="10"/>
              <w:spacing w:before="31" w:line="244" w:lineRule="exact"/>
              <w:ind w:left="321"/>
              <w:rPr>
                <w:sz w:val="21"/>
              </w:rPr>
            </w:pPr>
            <w:r>
              <w:rPr>
                <w:sz w:val="21"/>
              </w:rPr>
              <w:t>出具已获取信息</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restart"/>
            <w:tcBorders>
              <w:top w:val="single" w:color="auto" w:sz="4" w:space="0"/>
              <w:left w:val="single" w:color="auto" w:sz="4" w:space="0"/>
              <w:right w:val="single" w:color="auto" w:sz="4" w:space="0"/>
            </w:tcBorders>
            <w:vAlign w:val="center"/>
          </w:tcPr>
          <w:p>
            <w:pPr>
              <w:pStyle w:val="10"/>
              <w:spacing w:before="174"/>
              <w:jc w:val="center"/>
              <w:rPr>
                <w:rFonts w:hint="eastAsia" w:ascii="黑体" w:eastAsia="黑体"/>
                <w:sz w:val="21"/>
              </w:rPr>
            </w:pPr>
            <w:r>
              <w:rPr>
                <w:rFonts w:hint="eastAsia" w:ascii="黑体" w:eastAsia="黑体"/>
                <w:sz w:val="21"/>
              </w:rPr>
              <w:t>（六）其</w:t>
            </w:r>
            <w:bookmarkStart w:id="0" w:name="_GoBack"/>
            <w:bookmarkEnd w:id="0"/>
            <w:r>
              <w:rPr>
                <w:rFonts w:hint="eastAsia" w:ascii="黑体" w:eastAsia="黑体"/>
                <w:sz w:val="21"/>
              </w:rPr>
              <w:t>他处理</w:t>
            </w:r>
          </w:p>
        </w:tc>
        <w:tc>
          <w:tcPr>
            <w:tcW w:w="2976" w:type="dxa"/>
            <w:tcBorders>
              <w:top w:val="single" w:color="auto" w:sz="4" w:space="0"/>
              <w:left w:val="single" w:color="auto" w:sz="4" w:space="0"/>
              <w:bottom w:val="single" w:color="auto" w:sz="4" w:space="0"/>
              <w:right w:val="single" w:color="auto" w:sz="4" w:space="0"/>
            </w:tcBorders>
          </w:tcPr>
          <w:p>
            <w:pPr>
              <w:pStyle w:val="10"/>
              <w:spacing w:before="25"/>
              <w:ind w:left="9" w:right="-15"/>
              <w:rPr>
                <w:sz w:val="21"/>
              </w:rPr>
            </w:pPr>
            <w:r>
              <w:rPr>
                <w:w w:val="95"/>
                <w:sz w:val="21"/>
              </w:rPr>
              <w:t>1</w:t>
            </w:r>
            <w:r>
              <w:rPr>
                <w:spacing w:val="17"/>
                <w:w w:val="95"/>
                <w:sz w:val="21"/>
              </w:rPr>
              <w:t>.</w:t>
            </w:r>
            <w:r>
              <w:rPr>
                <w:sz w:val="21"/>
              </w:rPr>
              <w:t xml:space="preserve"> 申请人无正当理由逾期不补</w:t>
            </w:r>
          </w:p>
          <w:p>
            <w:pPr>
              <w:pStyle w:val="10"/>
              <w:spacing w:before="31" w:line="247" w:lineRule="exact"/>
              <w:ind w:left="9" w:right="-15"/>
              <w:rPr>
                <w:sz w:val="21"/>
              </w:rPr>
            </w:pPr>
            <w:r>
              <w:rPr>
                <w:sz w:val="21"/>
              </w:rPr>
              <w:t>正、行政机关不再处理其政府信息公开申请</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ascii="Times New Roman"/>
                <w:sz w:val="22"/>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ascii="Times New Roman"/>
                <w:sz w:val="22"/>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2" w:hRule="atLeast"/>
        </w:trPr>
        <w:tc>
          <w:tcPr>
            <w:tcW w:w="416" w:type="dxa"/>
            <w:vMerge w:val="continue"/>
            <w:tcBorders>
              <w:top w:val="single" w:color="auto" w:sz="4" w:space="0"/>
              <w:left w:val="single" w:color="auto" w:sz="4" w:space="0"/>
              <w:bottom w:val="single" w:color="auto" w:sz="4" w:space="0"/>
              <w:right w:val="single" w:color="auto" w:sz="4" w:space="0"/>
            </w:tcBorders>
          </w:tcPr>
          <w:p>
            <w:pPr>
              <w:rPr>
                <w:sz w:val="2"/>
                <w:szCs w:val="2"/>
              </w:rPr>
            </w:pPr>
          </w:p>
        </w:tc>
        <w:tc>
          <w:tcPr>
            <w:tcW w:w="1701" w:type="dxa"/>
            <w:vMerge w:val="continue"/>
            <w:tcBorders>
              <w:left w:val="single" w:color="auto" w:sz="4" w:space="0"/>
              <w:right w:val="single" w:color="auto" w:sz="4" w:space="0"/>
            </w:tcBorders>
          </w:tcPr>
          <w:p>
            <w:pPr>
              <w:pStyle w:val="10"/>
              <w:spacing w:before="174"/>
              <w:ind w:left="112"/>
              <w:rPr>
                <w:rFonts w:hint="eastAsia" w:ascii="黑体" w:eastAsia="黑体"/>
                <w:sz w:val="21"/>
              </w:rPr>
            </w:pPr>
          </w:p>
        </w:tc>
        <w:tc>
          <w:tcPr>
            <w:tcW w:w="2976" w:type="dxa"/>
            <w:tcBorders>
              <w:top w:val="single" w:color="auto" w:sz="4" w:space="0"/>
              <w:left w:val="single" w:color="auto" w:sz="4" w:space="0"/>
              <w:bottom w:val="single" w:color="auto" w:sz="4" w:space="0"/>
              <w:right w:val="single" w:color="auto" w:sz="4" w:space="0"/>
            </w:tcBorders>
          </w:tcPr>
          <w:p>
            <w:pPr>
              <w:pStyle w:val="10"/>
              <w:spacing w:before="31" w:line="247" w:lineRule="exact"/>
              <w:ind w:left="9" w:right="-15"/>
              <w:rPr>
                <w:sz w:val="21"/>
              </w:rPr>
            </w:pPr>
            <w:r>
              <w:rPr>
                <w:sz w:val="21"/>
              </w:rPr>
              <w:t>2.申请人逾期未按收费通知要求缴纳费用、行政机关不再处理其政府信息公开申请</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atLeast"/>
        </w:trPr>
        <w:tc>
          <w:tcPr>
            <w:tcW w:w="4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both"/>
              <w:textAlignment w:val="auto"/>
              <w:rPr>
                <w:sz w:val="2"/>
                <w:szCs w:val="2"/>
              </w:rPr>
            </w:pPr>
          </w:p>
        </w:tc>
        <w:tc>
          <w:tcPr>
            <w:tcW w:w="1701" w:type="dxa"/>
            <w:vMerge w:val="continue"/>
            <w:tcBorders>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ind w:left="0" w:right="0"/>
              <w:jc w:val="both"/>
              <w:textAlignment w:val="auto"/>
              <w:rPr>
                <w:rFonts w:hint="eastAsia" w:ascii="黑体" w:eastAsia="黑体"/>
                <w:sz w:val="21"/>
              </w:rPr>
            </w:pPr>
          </w:p>
        </w:tc>
        <w:tc>
          <w:tcPr>
            <w:tcW w:w="2976" w:type="dxa"/>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247" w:lineRule="exact"/>
              <w:ind w:left="0" w:right="0"/>
              <w:jc w:val="both"/>
              <w:textAlignment w:val="auto"/>
              <w:rPr>
                <w:sz w:val="21"/>
              </w:rPr>
            </w:pPr>
            <w:r>
              <w:rPr>
                <w:sz w:val="21"/>
              </w:rPr>
              <w:t>3.其他</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2</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hint="default" w:ascii="Times New Roman"/>
                <w:sz w:val="22"/>
                <w:lang w:val="en-US" w:eastAsia="zh-CN"/>
              </w:rPr>
            </w:pPr>
            <w:r>
              <w:rPr>
                <w:rFonts w:hint="eastAsia" w:ascii="Times New Roman"/>
                <w:sz w:val="22"/>
                <w:lang w:val="en-US" w:eastAsia="zh-CN"/>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 w:hRule="atLeast"/>
        </w:trPr>
        <w:tc>
          <w:tcPr>
            <w:tcW w:w="41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0" w:right="0"/>
              <w:jc w:val="both"/>
              <w:textAlignment w:val="auto"/>
              <w:rPr>
                <w:sz w:val="2"/>
                <w:szCs w:val="2"/>
              </w:rPr>
            </w:pPr>
          </w:p>
        </w:tc>
        <w:tc>
          <w:tcPr>
            <w:tcW w:w="4677" w:type="dxa"/>
            <w:gridSpan w:val="2"/>
            <w:tcBorders>
              <w:top w:val="single" w:color="auto" w:sz="4" w:space="0"/>
              <w:left w:val="single" w:color="auto" w:sz="4" w:space="0"/>
              <w:bottom w:val="single" w:color="auto" w:sz="4" w:space="0"/>
              <w:right w:val="single" w:color="auto"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247" w:lineRule="exact"/>
              <w:ind w:left="0" w:right="0"/>
              <w:jc w:val="both"/>
              <w:textAlignment w:val="auto"/>
              <w:rPr>
                <w:sz w:val="21"/>
              </w:rPr>
            </w:pPr>
            <w:r>
              <w:rPr>
                <w:rFonts w:hint="eastAsia" w:ascii="黑体" w:eastAsia="黑体"/>
                <w:sz w:val="21"/>
              </w:rPr>
              <w:t>（七）总计</w:t>
            </w:r>
          </w:p>
        </w:tc>
        <w:tc>
          <w:tcPr>
            <w:tcW w:w="829" w:type="dxa"/>
            <w:tcBorders>
              <w:top w:val="single" w:color="000000" w:sz="4" w:space="0"/>
              <w:left w:val="single" w:color="auto"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65</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bottom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bottom w:val="single" w:color="000000" w:sz="4" w:space="0"/>
            </w:tcBorders>
          </w:tcPr>
          <w:p>
            <w:pPr>
              <w:jc w:val="center"/>
              <w:rPr>
                <w:rFonts w:hint="default" w:ascii="Times New Roman"/>
                <w:sz w:val="22"/>
                <w:lang w:val="en-US" w:eastAsia="zh-CN"/>
              </w:rPr>
            </w:pPr>
            <w:r>
              <w:rPr>
                <w:rFonts w:hint="eastAsia" w:ascii="Times New Roman"/>
                <w:sz w:val="22"/>
                <w:lang w:val="en-US" w:eastAsia="zh-CN"/>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5093" w:type="dxa"/>
            <w:gridSpan w:val="3"/>
            <w:tcBorders>
              <w:top w:val="single" w:color="auto" w:sz="4" w:space="0"/>
              <w:right w:val="single" w:color="000000" w:sz="4" w:space="0"/>
            </w:tcBorders>
            <w:vAlign w:val="center"/>
          </w:tcPr>
          <w:p>
            <w:pPr>
              <w:pStyle w:val="10"/>
              <w:keepNext w:val="0"/>
              <w:keepLines w:val="0"/>
              <w:pageBreakBefore w:val="0"/>
              <w:widowControl w:val="0"/>
              <w:kinsoku/>
              <w:wordWrap/>
              <w:overflowPunct/>
              <w:topLinePunct w:val="0"/>
              <w:autoSpaceDE/>
              <w:autoSpaceDN/>
              <w:bidi w:val="0"/>
              <w:adjustRightInd/>
              <w:snapToGrid/>
              <w:spacing w:line="247" w:lineRule="exact"/>
              <w:ind w:left="0" w:right="0"/>
              <w:jc w:val="both"/>
              <w:textAlignment w:val="auto"/>
              <w:rPr>
                <w:rFonts w:hint="eastAsia" w:ascii="黑体" w:eastAsia="黑体"/>
                <w:sz w:val="21"/>
              </w:rPr>
            </w:pPr>
            <w:r>
              <w:rPr>
                <w:rFonts w:hint="eastAsia" w:ascii="黑体" w:eastAsia="黑体"/>
                <w:sz w:val="21"/>
              </w:rPr>
              <w:t>四、结转下年度继续办理</w:t>
            </w:r>
          </w:p>
        </w:tc>
        <w:tc>
          <w:tcPr>
            <w:tcW w:w="829" w:type="dxa"/>
            <w:tcBorders>
              <w:top w:val="single" w:color="000000" w:sz="4" w:space="0"/>
              <w:left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3</w:t>
            </w:r>
          </w:p>
        </w:tc>
        <w:tc>
          <w:tcPr>
            <w:tcW w:w="567" w:type="dxa"/>
            <w:tcBorders>
              <w:top w:val="single" w:color="000000" w:sz="4" w:space="0"/>
              <w:left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31" w:type="dxa"/>
            <w:tcBorders>
              <w:top w:val="single" w:color="000000" w:sz="4" w:space="0"/>
              <w:left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708" w:type="dxa"/>
            <w:tcBorders>
              <w:top w:val="single" w:color="000000" w:sz="4" w:space="0"/>
              <w:left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567" w:type="dxa"/>
            <w:tcBorders>
              <w:top w:val="single" w:color="000000" w:sz="4" w:space="0"/>
              <w:left w:val="single" w:color="000000" w:sz="4" w:space="0"/>
              <w:right w:val="single" w:color="000000" w:sz="4" w:space="0"/>
            </w:tcBorders>
          </w:tcPr>
          <w:p>
            <w:pPr>
              <w:jc w:val="center"/>
              <w:rPr>
                <w:rFonts w:hint="default" w:ascii="Times New Roman"/>
                <w:sz w:val="22"/>
                <w:lang w:val="en-US" w:eastAsia="zh-CN"/>
              </w:rPr>
            </w:pPr>
            <w:r>
              <w:rPr>
                <w:rFonts w:hint="eastAsia" w:ascii="Times New Roman"/>
                <w:sz w:val="22"/>
                <w:lang w:val="en-US" w:eastAsia="zh-CN"/>
              </w:rPr>
              <w:t>0</w:t>
            </w:r>
          </w:p>
        </w:tc>
        <w:tc>
          <w:tcPr>
            <w:tcW w:w="851" w:type="dxa"/>
            <w:tcBorders>
              <w:top w:val="single" w:color="000000" w:sz="4" w:space="0"/>
              <w:left w:val="single" w:color="000000" w:sz="4" w:space="0"/>
            </w:tcBorders>
          </w:tcPr>
          <w:p>
            <w:pPr>
              <w:jc w:val="center"/>
              <w:rPr>
                <w:rFonts w:hint="default" w:ascii="Times New Roman"/>
                <w:sz w:val="22"/>
                <w:lang w:val="en-US" w:eastAsia="zh-CN"/>
              </w:rPr>
            </w:pPr>
            <w:r>
              <w:rPr>
                <w:rFonts w:hint="eastAsia" w:ascii="Times New Roman"/>
                <w:sz w:val="22"/>
                <w:lang w:val="en-US" w:eastAsia="zh-CN"/>
              </w:rPr>
              <w:t>3</w:t>
            </w:r>
          </w:p>
        </w:tc>
      </w:tr>
    </w:tbl>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Times New Roman" w:hAnsi="Times New Roman" w:eastAsia="黑体" w:cs="Times New Roman"/>
          <w:i w:val="0"/>
          <w:caps w:val="0"/>
          <w:color w:val="000000"/>
          <w:spacing w:val="-8"/>
          <w:sz w:val="32"/>
          <w:szCs w:val="32"/>
        </w:rPr>
      </w:pPr>
    </w:p>
    <w:p>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default" w:ascii="Times New Roman" w:hAnsi="Times New Roman" w:eastAsia="黑体" w:cs="Times New Roman"/>
          <w:i w:val="0"/>
          <w:caps w:val="0"/>
          <w:color w:val="000000"/>
          <w:spacing w:val="-8"/>
          <w:sz w:val="32"/>
          <w:szCs w:val="32"/>
        </w:rPr>
      </w:pPr>
      <w:r>
        <w:rPr>
          <w:rFonts w:hint="default" w:ascii="Times New Roman" w:hAnsi="Times New Roman" w:eastAsia="黑体" w:cs="Times New Roman"/>
          <w:i w:val="0"/>
          <w:caps w:val="0"/>
          <w:color w:val="000000"/>
          <w:spacing w:val="-8"/>
          <w:sz w:val="32"/>
          <w:szCs w:val="32"/>
        </w:rPr>
        <w:t>因政府信息公开工作被申请行政复议、提起行政诉讼情况</w:t>
      </w:r>
    </w:p>
    <w:p>
      <w:pPr>
        <w:pStyle w:val="4"/>
        <w:spacing w:before="11" w:after="1"/>
        <w:ind w:left="0" w:firstLine="0"/>
        <w:rPr>
          <w:rFonts w:ascii="方正小标宋简体"/>
          <w:sz w:val="11"/>
        </w:rPr>
      </w:pPr>
    </w:p>
    <w:tbl>
      <w:tblPr>
        <w:tblStyle w:val="6"/>
        <w:tblW w:w="9071" w:type="dxa"/>
        <w:tblInd w:w="54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3074" w:type="dxa"/>
            <w:gridSpan w:val="5"/>
          </w:tcPr>
          <w:p>
            <w:pPr>
              <w:pStyle w:val="10"/>
              <w:spacing w:before="120"/>
              <w:ind w:left="1116" w:right="1098"/>
              <w:jc w:val="center"/>
              <w:rPr>
                <w:rFonts w:hint="eastAsia" w:ascii="黑体" w:eastAsia="黑体"/>
                <w:sz w:val="20"/>
              </w:rPr>
            </w:pPr>
            <w:r>
              <w:rPr>
                <w:rFonts w:hint="eastAsia" w:ascii="黑体" w:eastAsia="黑体"/>
                <w:sz w:val="20"/>
              </w:rPr>
              <w:t>行政复议</w:t>
            </w:r>
          </w:p>
        </w:tc>
        <w:tc>
          <w:tcPr>
            <w:tcW w:w="5997" w:type="dxa"/>
            <w:gridSpan w:val="10"/>
          </w:tcPr>
          <w:p>
            <w:pPr>
              <w:pStyle w:val="10"/>
              <w:spacing w:before="120"/>
              <w:ind w:left="2575" w:right="2561"/>
              <w:jc w:val="center"/>
              <w:rPr>
                <w:rFonts w:hint="eastAsia" w:ascii="黑体" w:eastAsia="黑体"/>
                <w:sz w:val="20"/>
              </w:rPr>
            </w:pPr>
            <w:r>
              <w:rPr>
                <w:rFonts w:hint="eastAsia" w:ascii="黑体" w:eastAsia="黑体"/>
                <w:sz w:val="20"/>
              </w:rPr>
              <w:t>行政诉讼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1" w:hRule="atLeast"/>
        </w:trPr>
        <w:tc>
          <w:tcPr>
            <w:tcW w:w="604" w:type="dxa"/>
            <w:vMerge w:val="restart"/>
            <w:vAlign w:val="top"/>
          </w:tcPr>
          <w:p>
            <w:pPr>
              <w:pStyle w:val="10"/>
              <w:spacing w:before="10"/>
              <w:jc w:val="center"/>
              <w:rPr>
                <w:rFonts w:ascii="方正小标宋简体"/>
                <w:sz w:val="25"/>
              </w:rPr>
            </w:pPr>
          </w:p>
          <w:p>
            <w:pPr>
              <w:pStyle w:val="10"/>
              <w:spacing w:line="292" w:lineRule="auto"/>
              <w:ind w:left="111" w:right="71"/>
              <w:jc w:val="center"/>
              <w:rPr>
                <w:rFonts w:hint="eastAsia" w:ascii="黑体" w:eastAsia="黑体"/>
                <w:sz w:val="20"/>
              </w:rPr>
            </w:pPr>
            <w:r>
              <w:rPr>
                <w:rFonts w:hint="eastAsia" w:ascii="黑体" w:eastAsia="黑体"/>
                <w:sz w:val="20"/>
              </w:rPr>
              <w:t>结果维持</w:t>
            </w:r>
          </w:p>
        </w:tc>
        <w:tc>
          <w:tcPr>
            <w:tcW w:w="604" w:type="dxa"/>
            <w:vMerge w:val="restart"/>
            <w:vAlign w:val="top"/>
          </w:tcPr>
          <w:p>
            <w:pPr>
              <w:pStyle w:val="10"/>
              <w:spacing w:before="10"/>
              <w:jc w:val="center"/>
              <w:rPr>
                <w:rFonts w:ascii="方正小标宋简体"/>
                <w:sz w:val="25"/>
              </w:rPr>
            </w:pPr>
          </w:p>
          <w:p>
            <w:pPr>
              <w:pStyle w:val="10"/>
              <w:spacing w:line="292" w:lineRule="auto"/>
              <w:ind w:left="146" w:right="37"/>
              <w:jc w:val="center"/>
              <w:rPr>
                <w:rFonts w:hint="eastAsia" w:ascii="黑体" w:eastAsia="黑体"/>
                <w:sz w:val="20"/>
              </w:rPr>
            </w:pPr>
            <w:r>
              <w:rPr>
                <w:rFonts w:hint="eastAsia" w:ascii="黑体" w:eastAsia="黑体"/>
                <w:sz w:val="20"/>
              </w:rPr>
              <w:t>结果纠正</w:t>
            </w:r>
          </w:p>
        </w:tc>
        <w:tc>
          <w:tcPr>
            <w:tcW w:w="604" w:type="dxa"/>
            <w:vMerge w:val="restart"/>
            <w:vAlign w:val="top"/>
          </w:tcPr>
          <w:p>
            <w:pPr>
              <w:pStyle w:val="10"/>
              <w:spacing w:before="10"/>
              <w:jc w:val="center"/>
              <w:rPr>
                <w:rFonts w:ascii="方正小标宋简体"/>
                <w:sz w:val="25"/>
              </w:rPr>
            </w:pPr>
          </w:p>
          <w:p>
            <w:pPr>
              <w:pStyle w:val="10"/>
              <w:spacing w:line="292" w:lineRule="auto"/>
              <w:ind w:left="108" w:right="75"/>
              <w:jc w:val="center"/>
              <w:rPr>
                <w:rFonts w:hint="eastAsia" w:ascii="黑体" w:eastAsia="黑体"/>
                <w:sz w:val="20"/>
              </w:rPr>
            </w:pPr>
            <w:r>
              <w:rPr>
                <w:rFonts w:hint="eastAsia" w:ascii="黑体" w:eastAsia="黑体"/>
                <w:sz w:val="20"/>
              </w:rPr>
              <w:t>其他结果</w:t>
            </w:r>
          </w:p>
        </w:tc>
        <w:tc>
          <w:tcPr>
            <w:tcW w:w="604" w:type="dxa"/>
            <w:vMerge w:val="restart"/>
            <w:vAlign w:val="top"/>
          </w:tcPr>
          <w:p>
            <w:pPr>
              <w:pStyle w:val="10"/>
              <w:spacing w:before="10"/>
              <w:jc w:val="center"/>
              <w:rPr>
                <w:rFonts w:ascii="方正小标宋简体"/>
                <w:sz w:val="25"/>
              </w:rPr>
            </w:pPr>
          </w:p>
          <w:p>
            <w:pPr>
              <w:pStyle w:val="10"/>
              <w:spacing w:line="292" w:lineRule="auto"/>
              <w:ind w:left="102" w:right="81"/>
              <w:jc w:val="center"/>
              <w:rPr>
                <w:rFonts w:hint="eastAsia" w:ascii="黑体" w:eastAsia="黑体"/>
                <w:sz w:val="20"/>
              </w:rPr>
            </w:pPr>
            <w:r>
              <w:rPr>
                <w:rFonts w:hint="eastAsia" w:ascii="黑体" w:eastAsia="黑体"/>
                <w:sz w:val="20"/>
              </w:rPr>
              <w:t>尚未审结</w:t>
            </w:r>
          </w:p>
        </w:tc>
        <w:tc>
          <w:tcPr>
            <w:tcW w:w="658" w:type="dxa"/>
            <w:vMerge w:val="restart"/>
            <w:vAlign w:val="top"/>
          </w:tcPr>
          <w:p>
            <w:pPr>
              <w:pStyle w:val="10"/>
              <w:spacing w:before="13"/>
              <w:jc w:val="center"/>
              <w:rPr>
                <w:rFonts w:ascii="方正小标宋简体"/>
                <w:sz w:val="26"/>
              </w:rPr>
            </w:pPr>
          </w:p>
          <w:p>
            <w:pPr>
              <w:pStyle w:val="10"/>
              <w:spacing w:before="1" w:line="300" w:lineRule="auto"/>
              <w:ind w:left="228" w:right="210"/>
              <w:jc w:val="center"/>
              <w:rPr>
                <w:rFonts w:hint="eastAsia" w:ascii="黑体" w:eastAsia="黑体"/>
                <w:sz w:val="20"/>
              </w:rPr>
            </w:pPr>
            <w:r>
              <w:rPr>
                <w:rFonts w:hint="eastAsia" w:ascii="黑体" w:eastAsia="黑体"/>
                <w:w w:val="95"/>
                <w:sz w:val="20"/>
              </w:rPr>
              <w:t>总计</w:t>
            </w:r>
          </w:p>
        </w:tc>
        <w:tc>
          <w:tcPr>
            <w:tcW w:w="2970" w:type="dxa"/>
            <w:gridSpan w:val="5"/>
          </w:tcPr>
          <w:p>
            <w:pPr>
              <w:pStyle w:val="10"/>
              <w:spacing w:before="145"/>
              <w:ind w:left="683"/>
              <w:rPr>
                <w:rFonts w:hint="eastAsia" w:ascii="黑体" w:eastAsia="黑体"/>
                <w:sz w:val="20"/>
              </w:rPr>
            </w:pPr>
            <w:r>
              <w:rPr>
                <w:rFonts w:hint="eastAsia" w:ascii="黑体" w:eastAsia="黑体"/>
                <w:sz w:val="20"/>
              </w:rPr>
              <w:t>未经复议直接起诉</w:t>
            </w:r>
          </w:p>
        </w:tc>
        <w:tc>
          <w:tcPr>
            <w:tcW w:w="3027" w:type="dxa"/>
            <w:gridSpan w:val="5"/>
          </w:tcPr>
          <w:p>
            <w:pPr>
              <w:pStyle w:val="10"/>
              <w:spacing w:before="145"/>
              <w:ind w:left="1013"/>
              <w:rPr>
                <w:rFonts w:hint="eastAsia" w:ascii="黑体" w:eastAsia="黑体"/>
                <w:sz w:val="20"/>
              </w:rPr>
            </w:pPr>
            <w:r>
              <w:rPr>
                <w:rFonts w:hint="eastAsia" w:ascii="黑体" w:eastAsia="黑体"/>
                <w:sz w:val="20"/>
              </w:rPr>
              <w:t>复议后起诉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32" w:hRule="atLeast"/>
        </w:trPr>
        <w:tc>
          <w:tcPr>
            <w:tcW w:w="604" w:type="dxa"/>
            <w:vMerge w:val="continue"/>
            <w:tcBorders>
              <w:top w:val="nil"/>
            </w:tcBorders>
          </w:tcPr>
          <w:p>
            <w:pPr>
              <w:rPr>
                <w:sz w:val="2"/>
                <w:szCs w:val="2"/>
              </w:rPr>
            </w:pPr>
          </w:p>
        </w:tc>
        <w:tc>
          <w:tcPr>
            <w:tcW w:w="604" w:type="dxa"/>
            <w:vMerge w:val="continue"/>
            <w:tcBorders>
              <w:top w:val="nil"/>
            </w:tcBorders>
          </w:tcPr>
          <w:p>
            <w:pPr>
              <w:rPr>
                <w:sz w:val="2"/>
                <w:szCs w:val="2"/>
              </w:rPr>
            </w:pPr>
          </w:p>
        </w:tc>
        <w:tc>
          <w:tcPr>
            <w:tcW w:w="604" w:type="dxa"/>
            <w:vMerge w:val="continue"/>
            <w:tcBorders>
              <w:top w:val="nil"/>
            </w:tcBorders>
          </w:tcPr>
          <w:p>
            <w:pPr>
              <w:rPr>
                <w:sz w:val="2"/>
                <w:szCs w:val="2"/>
              </w:rPr>
            </w:pPr>
          </w:p>
        </w:tc>
        <w:tc>
          <w:tcPr>
            <w:tcW w:w="604" w:type="dxa"/>
            <w:vMerge w:val="continue"/>
            <w:tcBorders>
              <w:top w:val="nil"/>
            </w:tcBorders>
          </w:tcPr>
          <w:p>
            <w:pPr>
              <w:rPr>
                <w:sz w:val="2"/>
                <w:szCs w:val="2"/>
              </w:rPr>
            </w:pPr>
          </w:p>
        </w:tc>
        <w:tc>
          <w:tcPr>
            <w:tcW w:w="658" w:type="dxa"/>
            <w:vMerge w:val="continue"/>
            <w:tcBorders>
              <w:top w:val="nil"/>
            </w:tcBorders>
          </w:tcPr>
          <w:p>
            <w:pPr>
              <w:rPr>
                <w:sz w:val="2"/>
                <w:szCs w:val="2"/>
              </w:rPr>
            </w:pPr>
          </w:p>
        </w:tc>
        <w:tc>
          <w:tcPr>
            <w:tcW w:w="550" w:type="dxa"/>
          </w:tcPr>
          <w:p>
            <w:pPr>
              <w:pStyle w:val="10"/>
              <w:spacing w:before="168" w:line="292" w:lineRule="auto"/>
              <w:ind w:left="83" w:right="46"/>
              <w:rPr>
                <w:rFonts w:hint="eastAsia" w:ascii="黑体" w:eastAsia="黑体"/>
                <w:sz w:val="20"/>
              </w:rPr>
            </w:pPr>
            <w:r>
              <w:rPr>
                <w:rFonts w:hint="eastAsia" w:ascii="黑体" w:eastAsia="黑体"/>
                <w:sz w:val="20"/>
              </w:rPr>
              <w:t>结果维持</w:t>
            </w:r>
          </w:p>
        </w:tc>
        <w:tc>
          <w:tcPr>
            <w:tcW w:w="605" w:type="dxa"/>
          </w:tcPr>
          <w:p>
            <w:pPr>
              <w:pStyle w:val="10"/>
              <w:spacing w:before="168" w:line="292" w:lineRule="auto"/>
              <w:ind w:left="102" w:right="82"/>
              <w:rPr>
                <w:rFonts w:hint="eastAsia" w:ascii="黑体" w:eastAsia="黑体"/>
                <w:sz w:val="20"/>
              </w:rPr>
            </w:pPr>
            <w:r>
              <w:rPr>
                <w:rFonts w:hint="eastAsia" w:ascii="黑体" w:eastAsia="黑体"/>
                <w:sz w:val="20"/>
              </w:rPr>
              <w:t>结果纠正</w:t>
            </w:r>
          </w:p>
        </w:tc>
        <w:tc>
          <w:tcPr>
            <w:tcW w:w="605" w:type="dxa"/>
          </w:tcPr>
          <w:p>
            <w:pPr>
              <w:pStyle w:val="10"/>
              <w:spacing w:before="168" w:line="292" w:lineRule="auto"/>
              <w:ind w:left="107" w:right="77"/>
              <w:rPr>
                <w:rFonts w:hint="eastAsia" w:ascii="黑体" w:eastAsia="黑体"/>
                <w:sz w:val="20"/>
              </w:rPr>
            </w:pPr>
            <w:r>
              <w:rPr>
                <w:rFonts w:hint="eastAsia" w:ascii="黑体" w:eastAsia="黑体"/>
                <w:sz w:val="20"/>
              </w:rPr>
              <w:t>其他结果</w:t>
            </w:r>
          </w:p>
        </w:tc>
        <w:tc>
          <w:tcPr>
            <w:tcW w:w="605" w:type="dxa"/>
          </w:tcPr>
          <w:p>
            <w:pPr>
              <w:pStyle w:val="10"/>
              <w:spacing w:before="168" w:line="292" w:lineRule="auto"/>
              <w:ind w:left="97" w:right="87"/>
              <w:rPr>
                <w:rFonts w:hint="eastAsia" w:ascii="黑体" w:eastAsia="黑体"/>
                <w:sz w:val="20"/>
              </w:rPr>
            </w:pPr>
            <w:r>
              <w:rPr>
                <w:rFonts w:hint="eastAsia" w:ascii="黑体" w:eastAsia="黑体"/>
                <w:sz w:val="20"/>
              </w:rPr>
              <w:t>尚未审结</w:t>
            </w:r>
          </w:p>
        </w:tc>
        <w:tc>
          <w:tcPr>
            <w:tcW w:w="605" w:type="dxa"/>
          </w:tcPr>
          <w:p>
            <w:pPr>
              <w:pStyle w:val="10"/>
              <w:spacing w:before="168" w:line="292" w:lineRule="auto"/>
              <w:ind w:left="202" w:right="181"/>
              <w:rPr>
                <w:rFonts w:hint="eastAsia" w:ascii="黑体" w:eastAsia="黑体"/>
                <w:sz w:val="20"/>
              </w:rPr>
            </w:pPr>
            <w:r>
              <w:rPr>
                <w:rFonts w:hint="eastAsia" w:ascii="黑体" w:eastAsia="黑体"/>
                <w:sz w:val="20"/>
              </w:rPr>
              <w:t>总计</w:t>
            </w:r>
          </w:p>
        </w:tc>
        <w:tc>
          <w:tcPr>
            <w:tcW w:w="605" w:type="dxa"/>
          </w:tcPr>
          <w:p>
            <w:pPr>
              <w:pStyle w:val="10"/>
              <w:spacing w:before="168" w:line="292" w:lineRule="auto"/>
              <w:ind w:left="92" w:right="92"/>
              <w:rPr>
                <w:rFonts w:hint="eastAsia" w:ascii="黑体" w:eastAsia="黑体"/>
                <w:sz w:val="20"/>
              </w:rPr>
            </w:pPr>
            <w:r>
              <w:rPr>
                <w:rFonts w:hint="eastAsia" w:ascii="黑体" w:eastAsia="黑体"/>
                <w:sz w:val="20"/>
              </w:rPr>
              <w:t>结果维持</w:t>
            </w:r>
          </w:p>
        </w:tc>
        <w:tc>
          <w:tcPr>
            <w:tcW w:w="605" w:type="dxa"/>
          </w:tcPr>
          <w:p>
            <w:pPr>
              <w:pStyle w:val="10"/>
              <w:spacing w:before="168" w:line="292" w:lineRule="auto"/>
              <w:ind w:left="96" w:right="88"/>
              <w:rPr>
                <w:rFonts w:hint="eastAsia" w:ascii="黑体" w:eastAsia="黑体"/>
                <w:sz w:val="20"/>
              </w:rPr>
            </w:pPr>
            <w:r>
              <w:rPr>
                <w:rFonts w:hint="eastAsia" w:ascii="黑体" w:eastAsia="黑体"/>
                <w:sz w:val="20"/>
              </w:rPr>
              <w:t>结果纠正</w:t>
            </w:r>
          </w:p>
        </w:tc>
        <w:tc>
          <w:tcPr>
            <w:tcW w:w="605" w:type="dxa"/>
          </w:tcPr>
          <w:p>
            <w:pPr>
              <w:pStyle w:val="10"/>
              <w:spacing w:before="168" w:line="292" w:lineRule="auto"/>
              <w:ind w:left="82" w:right="102"/>
              <w:rPr>
                <w:rFonts w:hint="eastAsia" w:ascii="黑体" w:eastAsia="黑体"/>
                <w:sz w:val="20"/>
              </w:rPr>
            </w:pPr>
            <w:r>
              <w:rPr>
                <w:rFonts w:hint="eastAsia" w:ascii="黑体" w:eastAsia="黑体"/>
                <w:sz w:val="20"/>
              </w:rPr>
              <w:t>其他结果</w:t>
            </w:r>
          </w:p>
        </w:tc>
        <w:tc>
          <w:tcPr>
            <w:tcW w:w="606" w:type="dxa"/>
          </w:tcPr>
          <w:p>
            <w:pPr>
              <w:pStyle w:val="10"/>
              <w:spacing w:before="168" w:line="292" w:lineRule="auto"/>
              <w:ind w:left="122" w:right="63" w:hanging="3"/>
              <w:rPr>
                <w:rFonts w:hint="eastAsia" w:ascii="黑体" w:eastAsia="黑体"/>
                <w:sz w:val="20"/>
              </w:rPr>
            </w:pPr>
            <w:r>
              <w:rPr>
                <w:rFonts w:hint="eastAsia" w:ascii="黑体" w:eastAsia="黑体"/>
                <w:sz w:val="20"/>
              </w:rPr>
              <w:t>尚未审结</w:t>
            </w:r>
          </w:p>
        </w:tc>
        <w:tc>
          <w:tcPr>
            <w:tcW w:w="606" w:type="dxa"/>
          </w:tcPr>
          <w:p>
            <w:pPr>
              <w:pStyle w:val="10"/>
              <w:spacing w:before="168" w:line="292" w:lineRule="auto"/>
              <w:ind w:left="203" w:right="183"/>
              <w:rPr>
                <w:rFonts w:hint="eastAsia" w:ascii="黑体" w:eastAsia="黑体"/>
                <w:sz w:val="20"/>
              </w:rPr>
            </w:pPr>
            <w:r>
              <w:rPr>
                <w:rFonts w:hint="eastAsia" w:ascii="黑体" w:eastAsia="黑体"/>
                <w:w w:val="95"/>
                <w:sz w:val="20"/>
              </w:rPr>
              <w:t>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76" w:hRule="atLeast"/>
        </w:trPr>
        <w:tc>
          <w:tcPr>
            <w:tcW w:w="604" w:type="dxa"/>
            <w:vAlign w:val="center"/>
          </w:tcPr>
          <w:p>
            <w:pPr>
              <w:pStyle w:val="10"/>
              <w:jc w:val="center"/>
              <w:rPr>
                <w:rFonts w:hint="default" w:ascii="Times New Roman" w:eastAsia="仿宋_GB2312"/>
                <w:sz w:val="26"/>
                <w:lang w:val="en-US" w:eastAsia="zh-CN"/>
              </w:rPr>
            </w:pPr>
            <w:r>
              <w:rPr>
                <w:rFonts w:hint="eastAsia" w:ascii="Times New Roman"/>
                <w:sz w:val="26"/>
                <w:lang w:val="en-US" w:eastAsia="zh-CN"/>
              </w:rPr>
              <w:t>1</w:t>
            </w:r>
          </w:p>
        </w:tc>
        <w:tc>
          <w:tcPr>
            <w:tcW w:w="604"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1</w:t>
            </w:r>
          </w:p>
        </w:tc>
        <w:tc>
          <w:tcPr>
            <w:tcW w:w="604"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4"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58" w:type="dxa"/>
            <w:vAlign w:val="center"/>
          </w:tcPr>
          <w:p>
            <w:pPr>
              <w:pStyle w:val="10"/>
              <w:jc w:val="center"/>
              <w:rPr>
                <w:rFonts w:hint="default" w:ascii="Times New Roman" w:eastAsia="仿宋_GB2312"/>
                <w:sz w:val="26"/>
                <w:lang w:val="en-US" w:eastAsia="zh-CN"/>
              </w:rPr>
            </w:pPr>
            <w:r>
              <w:rPr>
                <w:rFonts w:hint="eastAsia" w:ascii="Times New Roman"/>
                <w:sz w:val="26"/>
                <w:lang w:val="en-US" w:eastAsia="zh-CN"/>
              </w:rPr>
              <w:t>2</w:t>
            </w:r>
          </w:p>
        </w:tc>
        <w:tc>
          <w:tcPr>
            <w:tcW w:w="550"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1</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1</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5"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6"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c>
          <w:tcPr>
            <w:tcW w:w="606" w:type="dxa"/>
            <w:vAlign w:val="center"/>
          </w:tcPr>
          <w:p>
            <w:pPr>
              <w:pStyle w:val="10"/>
              <w:jc w:val="center"/>
              <w:rPr>
                <w:rFonts w:hint="eastAsia" w:ascii="Times New Roman" w:eastAsia="仿宋_GB2312"/>
                <w:sz w:val="26"/>
                <w:lang w:val="en-US" w:eastAsia="zh-CN"/>
              </w:rPr>
            </w:pPr>
            <w:r>
              <w:rPr>
                <w:rFonts w:hint="eastAsia" w:ascii="Times New Roman"/>
                <w:sz w:val="26"/>
                <w:lang w:val="en-US" w:eastAsia="zh-CN"/>
              </w:rPr>
              <w:t>0</w:t>
            </w:r>
          </w:p>
        </w:tc>
      </w:tr>
    </w:tbl>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Chars="0" w:right="0" w:rightChars="0"/>
        <w:jc w:val="both"/>
        <w:textAlignment w:val="auto"/>
        <w:rPr>
          <w:rFonts w:hint="default" w:ascii="Times New Roman" w:hAnsi="Times New Roman" w:eastAsia="黑体" w:cs="Times New Roman"/>
          <w:i w:val="0"/>
          <w:caps w:val="0"/>
          <w:color w:val="000000"/>
          <w:spacing w:val="-8"/>
          <w:sz w:val="32"/>
          <w:szCs w:val="32"/>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黑体" w:cs="Times New Roman"/>
          <w:i w:val="0"/>
          <w:caps w:val="0"/>
          <w:color w:val="000000"/>
          <w:spacing w:val="-8"/>
          <w:sz w:val="32"/>
          <w:szCs w:val="32"/>
        </w:rPr>
      </w:pPr>
      <w:r>
        <w:rPr>
          <w:rFonts w:hint="default" w:ascii="Times New Roman" w:hAnsi="Times New Roman" w:eastAsia="黑体" w:cs="Times New Roman"/>
          <w:i w:val="0"/>
          <w:caps w:val="0"/>
          <w:color w:val="000000"/>
          <w:spacing w:val="-8"/>
          <w:sz w:val="32"/>
          <w:szCs w:val="32"/>
          <w:lang w:val="en-US" w:eastAsia="zh-CN"/>
        </w:rPr>
        <w:t>五、</w:t>
      </w:r>
      <w:r>
        <w:rPr>
          <w:rFonts w:hint="default" w:ascii="Times New Roman" w:hAnsi="Times New Roman" w:eastAsia="黑体" w:cs="Times New Roman"/>
          <w:i w:val="0"/>
          <w:caps w:val="0"/>
          <w:color w:val="000000"/>
          <w:spacing w:val="-8"/>
          <w:sz w:val="32"/>
          <w:szCs w:val="32"/>
        </w:rPr>
        <w:t>政府信息公开工作存在的主要问题及改进情况</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_GB2312" w:cs="Times New Roman"/>
          <w:sz w:val="32"/>
          <w:szCs w:val="32"/>
          <w:lang w:val="en-US"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一</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存在问题。</w:t>
      </w:r>
      <w:r>
        <w:rPr>
          <w:rFonts w:hint="default" w:ascii="Times New Roman" w:hAnsi="Times New Roman" w:eastAsia="仿宋_GB2312" w:cs="Times New Roman"/>
          <w:sz w:val="32"/>
          <w:szCs w:val="32"/>
        </w:rPr>
        <w:t>一是政策解读</w:t>
      </w:r>
      <w:r>
        <w:rPr>
          <w:rFonts w:hint="eastAsia" w:ascii="Times New Roman" w:hAnsi="Times New Roman" w:eastAsia="仿宋_GB2312" w:cs="Times New Roman"/>
          <w:sz w:val="32"/>
          <w:szCs w:val="32"/>
          <w:lang w:val="en-US" w:eastAsia="zh-CN"/>
        </w:rPr>
        <w:t>方面有待提高</w:t>
      </w:r>
      <w:r>
        <w:rPr>
          <w:rFonts w:hint="default" w:ascii="Times New Roman" w:hAnsi="Times New Roman" w:eastAsia="仿宋_GB2312" w:cs="Times New Roman"/>
          <w:sz w:val="32"/>
          <w:szCs w:val="32"/>
        </w:rPr>
        <w:t>。部分部门对政策解读工作重视程度、解读水平有待提高。</w:t>
      </w:r>
      <w:r>
        <w:rPr>
          <w:rFonts w:hint="eastAsia"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是</w:t>
      </w:r>
      <w:r>
        <w:rPr>
          <w:rFonts w:hint="eastAsia" w:ascii="Times New Roman" w:hAnsi="Times New Roman" w:eastAsia="仿宋_GB2312" w:cs="Times New Roman"/>
          <w:sz w:val="32"/>
          <w:szCs w:val="32"/>
          <w:lang w:val="en-US" w:eastAsia="zh-CN"/>
        </w:rPr>
        <w:t>公开文件源头认定机制不完善</w:t>
      </w:r>
      <w:r>
        <w:rPr>
          <w:rFonts w:hint="default" w:ascii="Times New Roman" w:hAnsi="Times New Roman" w:eastAsia="仿宋_GB2312" w:cs="Times New Roman"/>
          <w:sz w:val="32"/>
          <w:szCs w:val="32"/>
        </w:rPr>
        <w:t>。各单位工作能力参差不齐，仍有部分文件依然未标注公开属性。</w:t>
      </w:r>
      <w:r>
        <w:rPr>
          <w:rFonts w:hint="eastAsia" w:ascii="Times New Roman" w:hAnsi="Times New Roman" w:eastAsia="仿宋_GB2312" w:cs="Times New Roman"/>
          <w:sz w:val="32"/>
          <w:szCs w:val="32"/>
          <w:lang w:val="en-US" w:eastAsia="zh-CN"/>
        </w:rPr>
        <w:t>三是政务公开与政务服务需进一步融合。区政府网站、山东政务服务网、淄博市公共数据开放网等政府信息公开网站之间存在信息壁垒，信息不同步，既增加了信息公开工作量，又增加了公众获取信息的成本。</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二</w:t>
      </w:r>
      <w:r>
        <w:rPr>
          <w:rFonts w:hint="eastAsia" w:ascii="楷体" w:hAnsi="楷体" w:eastAsia="楷体" w:cs="楷体"/>
          <w:sz w:val="32"/>
          <w:szCs w:val="32"/>
          <w:lang w:eastAsia="zh-CN"/>
        </w:rPr>
        <w:t>）</w:t>
      </w:r>
      <w:r>
        <w:rPr>
          <w:rFonts w:hint="eastAsia" w:ascii="楷体" w:hAnsi="楷体" w:eastAsia="楷体" w:cs="楷体"/>
          <w:sz w:val="32"/>
          <w:szCs w:val="32"/>
          <w:lang w:val="en-US" w:eastAsia="zh-CN"/>
        </w:rPr>
        <w:t>下一步工作打算。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Times New Roman"/>
          <w:sz w:val="32"/>
          <w:szCs w:val="32"/>
          <w:lang w:eastAsia="zh-CN"/>
        </w:rPr>
      </w:pPr>
      <w:r>
        <w:rPr>
          <w:rFonts w:hint="eastAsia" w:ascii="Times New Roman" w:hAnsi="Times New Roman" w:eastAsia="仿宋_GB2312" w:cs="Times New Roman"/>
          <w:sz w:val="32"/>
          <w:szCs w:val="32"/>
          <w:lang w:val="en-US" w:eastAsia="zh-CN"/>
        </w:rPr>
        <w:t>1、进一步做好政策解读和回应关切。一是</w:t>
      </w:r>
      <w:r>
        <w:rPr>
          <w:rFonts w:hint="default" w:ascii="Times New Roman" w:hAnsi="Times New Roman" w:eastAsia="仿宋" w:cs="Times New Roman"/>
          <w:sz w:val="32"/>
          <w:szCs w:val="32"/>
        </w:rPr>
        <w:t>结合前期下发的《周村区人民政府办公室关于印发周村区政策文件解读工作实施办法的通知》要求，进一步做好政策性文件的解读工作，</w:t>
      </w:r>
      <w:r>
        <w:rPr>
          <w:rFonts w:hint="eastAsia" w:ascii="Times New Roman" w:hAnsi="Times New Roman" w:eastAsia="仿宋" w:cs="Times New Roman"/>
          <w:sz w:val="32"/>
          <w:szCs w:val="32"/>
          <w:lang w:val="en-US" w:eastAsia="zh-CN"/>
        </w:rPr>
        <w:t>区政府办公室</w:t>
      </w:r>
      <w:r>
        <w:rPr>
          <w:rFonts w:hint="default" w:ascii="Times New Roman" w:hAnsi="Times New Roman" w:eastAsia="仿宋" w:cs="Times New Roman"/>
          <w:sz w:val="32"/>
          <w:szCs w:val="32"/>
        </w:rPr>
        <w:t>加大监督力度，对发文解读情况及时调度，把文件解读情况纳入政务公开工作考核，实行</w:t>
      </w:r>
      <w:r>
        <w:rPr>
          <w:rFonts w:hint="eastAsia" w:ascii="Times New Roman" w:hAnsi="Times New Roman" w:eastAsia="仿宋" w:cs="Times New Roman"/>
          <w:sz w:val="32"/>
          <w:szCs w:val="32"/>
          <w:lang w:val="en-US" w:eastAsia="zh-CN"/>
        </w:rPr>
        <w:t>一月一</w:t>
      </w:r>
      <w:r>
        <w:rPr>
          <w:rFonts w:hint="default" w:ascii="Times New Roman" w:hAnsi="Times New Roman" w:eastAsia="仿宋" w:cs="Times New Roman"/>
          <w:sz w:val="32"/>
          <w:szCs w:val="32"/>
        </w:rPr>
        <w:t>通报。</w:t>
      </w:r>
      <w:r>
        <w:rPr>
          <w:rFonts w:hint="eastAsia" w:ascii="Times New Roman" w:hAnsi="Times New Roman" w:eastAsia="仿宋" w:cs="Times New Roman"/>
          <w:sz w:val="32"/>
          <w:szCs w:val="32"/>
          <w:lang w:val="en-US" w:eastAsia="zh-CN"/>
        </w:rPr>
        <w:t>二是</w:t>
      </w:r>
      <w:r>
        <w:rPr>
          <w:rFonts w:hint="eastAsia" w:ascii="Times New Roman" w:hAnsi="Times New Roman" w:eastAsia="仿宋" w:cs="Times New Roman"/>
          <w:sz w:val="32"/>
          <w:szCs w:val="32"/>
          <w:lang w:eastAsia="zh-CN"/>
        </w:rPr>
        <w:t>多渠道、多方位、多角度举办“政府开放日”活动，搭建政府与群众之间的沟通桥梁，增强政府公信力、凝聚力和执行力。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2、全方位提升政务公开人员力量。</w:t>
      </w:r>
      <w:r>
        <w:rPr>
          <w:rFonts w:hint="default" w:ascii="Times New Roman" w:hAnsi="Times New Roman" w:eastAsia="仿宋" w:cs="Times New Roman"/>
          <w:sz w:val="32"/>
          <w:szCs w:val="32"/>
          <w:lang w:val="en-US" w:eastAsia="zh-CN"/>
        </w:rPr>
        <w:t>针对各部门单位负责人员变动频繁的问题，定期组织专题培训，通过走出去、请进来的方式，加强业务培训和</w:t>
      </w:r>
      <w:r>
        <w:rPr>
          <w:rFonts w:hint="eastAsia" w:ascii="Times New Roman" w:hAnsi="Times New Roman" w:eastAsia="仿宋" w:cs="Times New Roman"/>
          <w:sz w:val="32"/>
          <w:szCs w:val="32"/>
          <w:lang w:val="en-US" w:eastAsia="zh-CN"/>
        </w:rPr>
        <w:t>交流</w:t>
      </w:r>
      <w:r>
        <w:rPr>
          <w:rFonts w:hint="default" w:ascii="Times New Roman" w:hAnsi="Times New Roman" w:eastAsia="仿宋" w:cs="Times New Roman"/>
          <w:sz w:val="32"/>
          <w:szCs w:val="32"/>
          <w:lang w:val="en-US" w:eastAsia="zh-CN"/>
        </w:rPr>
        <w:t>研讨，切实提升工作人员业务能力</w:t>
      </w:r>
      <w:r>
        <w:rPr>
          <w:rFonts w:hint="eastAsia" w:ascii="Times New Roman" w:hAnsi="Times New Roman" w:eastAsia="仿宋" w:cs="Times New Roman"/>
          <w:sz w:val="32"/>
          <w:szCs w:val="32"/>
          <w:lang w:val="en-US" w:eastAsia="zh-CN"/>
        </w:rPr>
        <w:t>。</w:t>
      </w:r>
      <w:r>
        <w:rPr>
          <w:rFonts w:hint="default" w:ascii="Times New Roman" w:hAnsi="Times New Roman" w:eastAsia="仿宋" w:cs="Times New Roman"/>
          <w:sz w:val="32"/>
          <w:szCs w:val="32"/>
          <w:lang w:val="en-US" w:eastAsia="zh-CN"/>
        </w:rPr>
        <w:t>组织重点工作单位赴</w:t>
      </w:r>
      <w:r>
        <w:rPr>
          <w:rFonts w:hint="eastAsia" w:ascii="Times New Roman" w:hAnsi="Times New Roman" w:eastAsia="仿宋" w:cs="Times New Roman"/>
          <w:sz w:val="32"/>
          <w:szCs w:val="32"/>
          <w:lang w:val="en-US" w:eastAsia="zh-CN"/>
        </w:rPr>
        <w:t>省内先进地区</w:t>
      </w:r>
      <w:r>
        <w:rPr>
          <w:rFonts w:hint="default" w:ascii="Times New Roman" w:hAnsi="Times New Roman" w:eastAsia="仿宋" w:cs="Times New Roman"/>
          <w:sz w:val="32"/>
          <w:szCs w:val="32"/>
          <w:lang w:val="en-US" w:eastAsia="zh-CN"/>
        </w:rPr>
        <w:t>考察学习政务公开工作，学习借鉴先进经验和</w:t>
      </w:r>
      <w:r>
        <w:rPr>
          <w:rFonts w:hint="default" w:ascii="Times New Roman" w:hAnsi="Times New Roman" w:eastAsia="仿宋" w:cs="Times New Roman"/>
          <w:sz w:val="32"/>
          <w:szCs w:val="32"/>
        </w:rPr>
        <w:t>做法</w:t>
      </w:r>
      <w:r>
        <w:rPr>
          <w:rFonts w:hint="default" w:ascii="Times New Roman" w:hAnsi="Times New Roman" w:eastAsia="仿宋" w:cs="Times New Roman"/>
          <w:sz w:val="32"/>
          <w:szCs w:val="32"/>
          <w:lang w:eastAsia="zh-CN"/>
        </w:rPr>
        <w:t>，</w:t>
      </w:r>
      <w:r>
        <w:rPr>
          <w:rFonts w:hint="default" w:ascii="Times New Roman" w:hAnsi="Times New Roman" w:eastAsia="仿宋" w:cs="Times New Roman"/>
          <w:sz w:val="32"/>
          <w:szCs w:val="32"/>
        </w:rPr>
        <w:t>查找工作中的差距和不足</w:t>
      </w:r>
      <w:r>
        <w:rPr>
          <w:rFonts w:hint="default" w:ascii="Times New Roman" w:hAnsi="Times New Roman" w:eastAsia="仿宋" w:cs="Times New Roman"/>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仿宋" w:cs="Times New Roman"/>
          <w:sz w:val="32"/>
          <w:szCs w:val="32"/>
          <w:lang w:val="en-US" w:eastAsia="zh-CN"/>
        </w:rPr>
      </w:pPr>
      <w:r>
        <w:rPr>
          <w:rFonts w:hint="eastAsia" w:ascii="Times New Roman" w:hAnsi="Times New Roman" w:eastAsia="仿宋" w:cs="Times New Roman"/>
          <w:sz w:val="32"/>
          <w:szCs w:val="32"/>
          <w:lang w:val="en-US" w:eastAsia="zh-CN"/>
        </w:rPr>
        <w:t>3</w:t>
      </w:r>
      <w:r>
        <w:rPr>
          <w:rFonts w:hint="default" w:ascii="Times New Roman" w:hAnsi="Times New Roman" w:eastAsia="仿宋" w:cs="Times New Roman"/>
          <w:sz w:val="32"/>
          <w:szCs w:val="32"/>
          <w:lang w:val="en-US" w:eastAsia="zh-CN"/>
        </w:rPr>
        <w:t>、政务公开智慧化</w:t>
      </w:r>
      <w:r>
        <w:rPr>
          <w:rFonts w:hint="eastAsia" w:ascii="Times New Roman" w:hAnsi="Times New Roman" w:eastAsia="仿宋" w:cs="Times New Roman"/>
          <w:sz w:val="32"/>
          <w:szCs w:val="32"/>
          <w:lang w:val="en-US" w:eastAsia="zh-CN"/>
        </w:rPr>
        <w:t>建设。</w:t>
      </w:r>
      <w:r>
        <w:rPr>
          <w:rFonts w:hint="default" w:ascii="Times New Roman" w:hAnsi="Times New Roman" w:eastAsia="仿宋" w:cs="Times New Roman"/>
          <w:sz w:val="32"/>
          <w:szCs w:val="32"/>
          <w:lang w:val="en-US" w:eastAsia="zh-CN"/>
        </w:rPr>
        <w:t>结合智慧城市和智慧政务建设，进一步推进政务公开智慧化发展，推进政务公开和大数据应用、政务服务、政府网站、APP、小程序等深度融合，通过云计算、大数据信息等新技术促进政务公开。</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default" w:ascii="Times New Roman" w:hAnsi="Times New Roman" w:eastAsia="黑体" w:cs="Times New Roman"/>
          <w:i w:val="0"/>
          <w:caps w:val="0"/>
          <w:color w:val="000000"/>
          <w:spacing w:val="0"/>
          <w:sz w:val="32"/>
          <w:szCs w:val="32"/>
        </w:rPr>
      </w:pPr>
      <w:r>
        <w:rPr>
          <w:rFonts w:hint="default" w:ascii="Times New Roman" w:hAnsi="Times New Roman" w:eastAsia="黑体" w:cs="Times New Roman"/>
          <w:i w:val="0"/>
          <w:caps w:val="0"/>
          <w:color w:val="000000"/>
          <w:spacing w:val="-8"/>
          <w:sz w:val="32"/>
          <w:szCs w:val="32"/>
        </w:rPr>
        <w:t>六、其他需要报告的事项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i w:val="0"/>
          <w:caps w:val="0"/>
          <w:color w:val="333333"/>
          <w:spacing w:val="0"/>
          <w:sz w:val="32"/>
          <w:szCs w:val="32"/>
          <w:shd w:val="clear" w:fill="FFFFFF"/>
        </w:rPr>
        <w:t>1、</w:t>
      </w:r>
      <w:r>
        <w:rPr>
          <w:rFonts w:hint="default" w:ascii="Times New Roman" w:hAnsi="Times New Roman" w:eastAsia="仿宋_GB2312" w:cs="Times New Roman"/>
          <w:sz w:val="32"/>
          <w:szCs w:val="32"/>
          <w:lang w:val="en-US" w:eastAsia="zh-CN"/>
        </w:rPr>
        <w:t>全区各行政机关向公民、法人和其他组织提供政府信息，全部实行免费。</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jc w:val="both"/>
        <w:textAlignment w:val="auto"/>
        <w:rPr>
          <w:rFonts w:hint="default" w:ascii="Times New Roman" w:hAnsi="Times New Roman" w:eastAsia="仿宋_GB2312" w:cs="Times New Roman"/>
          <w:i w:val="0"/>
          <w:caps w:val="0"/>
          <w:color w:val="000000"/>
          <w:spacing w:val="0"/>
          <w:sz w:val="32"/>
          <w:szCs w:val="32"/>
        </w:rPr>
      </w:pPr>
      <w:r>
        <w:rPr>
          <w:rFonts w:hint="default" w:ascii="Times New Roman" w:hAnsi="Times New Roman" w:eastAsia="仿宋_GB2312" w:cs="Times New Roman"/>
          <w:i w:val="0"/>
          <w:caps w:val="0"/>
          <w:color w:val="000000"/>
          <w:spacing w:val="0"/>
          <w:sz w:val="32"/>
          <w:szCs w:val="32"/>
        </w:rPr>
        <w:t>2、</w:t>
      </w:r>
      <w:r>
        <w:rPr>
          <w:rFonts w:hint="default" w:ascii="Times New Roman" w:hAnsi="Times New Roman" w:eastAsia="仿宋_GB2312" w:cs="Times New Roman"/>
          <w:i w:val="0"/>
          <w:caps w:val="0"/>
          <w:color w:val="3D3D3D"/>
          <w:spacing w:val="0"/>
          <w:sz w:val="32"/>
          <w:szCs w:val="32"/>
          <w:shd w:val="clear" w:fill="FFFFFF"/>
        </w:rPr>
        <w:t>根据《2021年淄博市政务公开工作要点》的部署要求，</w:t>
      </w:r>
      <w:r>
        <w:rPr>
          <w:rFonts w:hint="default" w:ascii="Times New Roman" w:hAnsi="Times New Roman" w:eastAsia="仿宋_GB2312" w:cs="Times New Roman"/>
          <w:i w:val="0"/>
          <w:caps w:val="0"/>
          <w:color w:val="000000"/>
          <w:spacing w:val="0"/>
          <w:sz w:val="32"/>
          <w:szCs w:val="32"/>
        </w:rPr>
        <w:t>制定印发《周村区2021年政务公开工作要点》，将区政府年度中心工作、“五公开”、基层政务公开标准化规范化等工作进行任务目标分解，明确具体要求和责任单位，切实推进政务公开工作高质量落实落地。</w:t>
      </w:r>
    </w:p>
    <w:p>
      <w:pPr>
        <w:pStyle w:val="4"/>
        <w:keepNext w:val="0"/>
        <w:keepLines w:val="0"/>
        <w:pageBreakBefore w:val="0"/>
        <w:kinsoku/>
        <w:wordWrap/>
        <w:overflowPunct/>
        <w:topLinePunct w:val="0"/>
        <w:autoSpaceDE/>
        <w:autoSpaceDN/>
        <w:bidi w:val="0"/>
        <w:adjustRightInd/>
        <w:snapToGrid/>
        <w:spacing w:after="0" w:afterLines="0" w:line="560" w:lineRule="exact"/>
        <w:ind w:firstLine="640" w:firstLineChars="200"/>
        <w:textAlignment w:val="auto"/>
        <w:rPr>
          <w:rFonts w:hint="default" w:ascii="Times New Roman" w:hAnsi="Times New Roman" w:eastAsia="仿宋_GB2312" w:cs="Times New Roman"/>
          <w:i w:val="0"/>
          <w:caps w:val="0"/>
          <w:color w:val="000000"/>
          <w:spacing w:val="0"/>
          <w:sz w:val="32"/>
          <w:szCs w:val="32"/>
        </w:rPr>
      </w:pPr>
      <w:r>
        <w:rPr>
          <w:rFonts w:hint="default" w:ascii="Times New Roman" w:hAnsi="Times New Roman" w:eastAsia="仿宋_GB2312" w:cs="Times New Roman"/>
          <w:i w:val="0"/>
          <w:caps w:val="0"/>
          <w:color w:val="333333"/>
          <w:spacing w:val="0"/>
          <w:sz w:val="32"/>
          <w:szCs w:val="32"/>
          <w:shd w:val="clear" w:fill="FFFFFF"/>
        </w:rPr>
        <w:t>3、人大代表建议和政协提案办理情况。打造全新办理人大建议和政协提案公开平台，实现会议编号、承办单位、标题等分类检索，进一步提升公众查询的便利性。</w:t>
      </w:r>
      <w:r>
        <w:rPr>
          <w:rFonts w:hint="default" w:ascii="Times New Roman" w:hAnsi="Times New Roman" w:eastAsia="仿宋_GB2312" w:cs="Times New Roman"/>
          <w:i w:val="0"/>
          <w:caps w:val="0"/>
          <w:color w:val="000000"/>
          <w:spacing w:val="0"/>
          <w:sz w:val="32"/>
          <w:szCs w:val="32"/>
        </w:rPr>
        <w:t>202</w:t>
      </w:r>
      <w:r>
        <w:rPr>
          <w:rFonts w:hint="default" w:ascii="Times New Roman" w:hAnsi="Times New Roman" w:eastAsia="仿宋_GB2312" w:cs="Times New Roman"/>
          <w:i w:val="0"/>
          <w:caps w:val="0"/>
          <w:color w:val="000000"/>
          <w:spacing w:val="0"/>
          <w:sz w:val="32"/>
          <w:szCs w:val="32"/>
          <w:lang w:val="en-US" w:eastAsia="zh-CN"/>
        </w:rPr>
        <w:t>1</w:t>
      </w:r>
      <w:r>
        <w:rPr>
          <w:rFonts w:hint="default" w:ascii="Times New Roman" w:hAnsi="Times New Roman" w:eastAsia="仿宋_GB2312" w:cs="Times New Roman"/>
          <w:i w:val="0"/>
          <w:caps w:val="0"/>
          <w:color w:val="000000"/>
          <w:spacing w:val="0"/>
          <w:sz w:val="32"/>
          <w:szCs w:val="32"/>
        </w:rPr>
        <w:t>年全区政府系统共承办人大代表建议51件，办复率100%；承办政协提案196件，办复率100%。</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textAlignment w:val="auto"/>
        <w:rPr>
          <w:rFonts w:hint="default" w:ascii="Times New Roman" w:hAnsi="Times New Roman" w:eastAsia="仿宋_GB2312" w:cs="Times New Roman"/>
          <w:i w:val="0"/>
          <w:caps w:val="0"/>
          <w:color w:val="000000"/>
          <w:spacing w:val="0"/>
          <w:sz w:val="32"/>
          <w:szCs w:val="32"/>
        </w:rPr>
      </w:pPr>
      <w:r>
        <w:rPr>
          <w:rFonts w:hint="default" w:ascii="Times New Roman" w:hAnsi="Times New Roman" w:eastAsia="仿宋_GB2312" w:cs="Times New Roman"/>
          <w:i w:val="0"/>
          <w:caps w:val="0"/>
          <w:color w:val="000000"/>
          <w:spacing w:val="0"/>
          <w:sz w:val="32"/>
          <w:szCs w:val="32"/>
        </w:rPr>
        <w:t>4、周村区创新编制《周村区政务公开标准化规范化执行标准和操作指南》向全区43个部门单位印发，主要内容包括区政府网站后台操作指南、主动公开信息发布规范格式、26个重点领域基层政务公开标准化规范化标准目录和依申请公开办理流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i w:val="0"/>
          <w:caps w:val="0"/>
          <w:color w:val="000000"/>
          <w:spacing w:val="0"/>
          <w:sz w:val="32"/>
          <w:szCs w:val="32"/>
        </w:rPr>
        <w:t>5、</w:t>
      </w:r>
      <w:r>
        <w:rPr>
          <w:rFonts w:hint="default" w:ascii="Times New Roman" w:hAnsi="Times New Roman" w:eastAsia="仿宋_GB2312" w:cs="Times New Roman"/>
          <w:i w:val="0"/>
          <w:caps w:val="0"/>
          <w:color w:val="000000"/>
          <w:spacing w:val="0"/>
          <w:sz w:val="32"/>
          <w:szCs w:val="32"/>
          <w:lang w:val="en-US" w:eastAsia="zh-CN"/>
        </w:rPr>
        <w:t>本</w:t>
      </w:r>
      <w:r>
        <w:rPr>
          <w:rFonts w:hint="default" w:ascii="Times New Roman" w:hAnsi="Times New Roman" w:eastAsia="仿宋_GB2312" w:cs="Times New Roman"/>
          <w:i w:val="0"/>
          <w:caps w:val="0"/>
          <w:color w:val="000000"/>
          <w:spacing w:val="0"/>
          <w:sz w:val="32"/>
          <w:szCs w:val="32"/>
        </w:rPr>
        <w:t>报告中所列数据统计期限自20</w:t>
      </w:r>
      <w:r>
        <w:rPr>
          <w:rFonts w:hint="default" w:ascii="Times New Roman" w:hAnsi="Times New Roman" w:eastAsia="仿宋_GB2312" w:cs="Times New Roman"/>
          <w:i w:val="0"/>
          <w:caps w:val="0"/>
          <w:color w:val="000000"/>
          <w:spacing w:val="0"/>
          <w:sz w:val="32"/>
          <w:szCs w:val="32"/>
          <w:lang w:val="en-US" w:eastAsia="zh-CN"/>
        </w:rPr>
        <w:t>21</w:t>
      </w:r>
      <w:r>
        <w:rPr>
          <w:rFonts w:hint="default" w:ascii="Times New Roman" w:hAnsi="Times New Roman" w:eastAsia="仿宋_GB2312" w:cs="Times New Roman"/>
          <w:i w:val="0"/>
          <w:caps w:val="0"/>
          <w:color w:val="000000"/>
          <w:spacing w:val="0"/>
          <w:sz w:val="32"/>
          <w:szCs w:val="32"/>
        </w:rPr>
        <w:t>年1月1日至20</w:t>
      </w:r>
      <w:r>
        <w:rPr>
          <w:rFonts w:hint="default" w:ascii="Times New Roman" w:hAnsi="Times New Roman" w:eastAsia="仿宋_GB2312" w:cs="Times New Roman"/>
          <w:i w:val="0"/>
          <w:caps w:val="0"/>
          <w:color w:val="000000"/>
          <w:spacing w:val="0"/>
          <w:sz w:val="32"/>
          <w:szCs w:val="32"/>
          <w:lang w:val="en-US" w:eastAsia="zh-CN"/>
        </w:rPr>
        <w:t>21</w:t>
      </w:r>
      <w:r>
        <w:rPr>
          <w:rFonts w:hint="default" w:ascii="Times New Roman" w:hAnsi="Times New Roman" w:eastAsia="仿宋_GB2312" w:cs="Times New Roman"/>
          <w:i w:val="0"/>
          <w:caps w:val="0"/>
          <w:color w:val="000000"/>
          <w:spacing w:val="0"/>
          <w:sz w:val="32"/>
          <w:szCs w:val="32"/>
        </w:rPr>
        <w:t>年12月31日。报告电子版可在周村区人民政府门户网站（www.zhoucun.gov.cn）查阅和下载。如对本报告有疑问，请与周村区人民政府办公室联系（地址：淄博市周村区新建东路201号2号楼418室；邮编：255300；电话：0533-6195389）</w:t>
      </w:r>
      <w:r>
        <w:rPr>
          <w:rFonts w:hint="default" w:ascii="Times New Roman" w:hAnsi="Times New Roman" w:eastAsia="仿宋_GB2312" w:cs="Times New Roman"/>
          <w:i w:val="0"/>
          <w:caps w:val="0"/>
          <w:color w:val="000000"/>
          <w:spacing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sz w:val="32"/>
          <w:szCs w:val="32"/>
        </w:rPr>
      </w:pPr>
    </w:p>
    <w:sectPr>
      <w:pgSz w:w="11906" w:h="16838"/>
      <w:pgMar w:top="1894" w:right="1519" w:bottom="161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2B54595"/>
    <w:multiLevelType w:val="singleLevel"/>
    <w:tmpl w:val="E2B54595"/>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8FF47D1"/>
    <w:rsid w:val="05FC0132"/>
    <w:rsid w:val="0E34602E"/>
    <w:rsid w:val="2B847554"/>
    <w:rsid w:val="2CB043F3"/>
    <w:rsid w:val="418011A2"/>
    <w:rsid w:val="447819A0"/>
    <w:rsid w:val="44E25897"/>
    <w:rsid w:val="48FF4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1"/>
    <w:pPr>
      <w:ind w:left="1608" w:hanging="322"/>
      <w:outlineLvl w:val="2"/>
    </w:pPr>
    <w:rPr>
      <w:rFonts w:ascii="Microsoft JhengHei" w:hAnsi="Microsoft JhengHei" w:eastAsia="Microsoft JhengHei" w:cs="Microsoft JhengHei"/>
      <w:b/>
      <w:bCs/>
      <w:sz w:val="32"/>
      <w:szCs w:val="3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oc 1"/>
    <w:basedOn w:val="1"/>
    <w:next w:val="1"/>
    <w:unhideWhenUsed/>
    <w:qFormat/>
    <w:uiPriority w:val="99"/>
  </w:style>
  <w:style w:type="paragraph" w:styleId="4">
    <w:name w:val="Body Text"/>
    <w:basedOn w:val="1"/>
    <w:qFormat/>
    <w:uiPriority w:val="0"/>
    <w:pPr>
      <w:spacing w:after="120" w:afterLines="0" w:afterAutospacing="0"/>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FollowedHyperlink"/>
    <w:basedOn w:val="7"/>
    <w:uiPriority w:val="0"/>
    <w:rPr>
      <w:color w:val="800080"/>
      <w:sz w:val="18"/>
      <w:szCs w:val="18"/>
      <w:u w:val="none"/>
    </w:rPr>
  </w:style>
  <w:style w:type="character" w:styleId="9">
    <w:name w:val="Hyperlink"/>
    <w:basedOn w:val="7"/>
    <w:uiPriority w:val="0"/>
    <w:rPr>
      <w:color w:val="0000FF"/>
      <w:sz w:val="18"/>
      <w:szCs w:val="18"/>
      <w:u w:val="none"/>
    </w:rPr>
  </w:style>
  <w:style w:type="paragraph" w:customStyle="1" w:styleId="10">
    <w:name w:val="Table Paragraph"/>
    <w:basedOn w:val="1"/>
    <w:qFormat/>
    <w:uiPriority w:val="1"/>
    <w:rPr>
      <w:rFonts w:ascii="仿宋_GB2312" w:hAnsi="仿宋_GB2312" w:eastAsia="仿宋_GB2312" w:cs="仿宋_GB2312"/>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2022-02-17T01:16:00Z</dcterms:created>
  <dc:creator>彩姿深景</dc:creator>
  <cp:lastModifiedBy>彩姿深景</cp:lastModifiedBy>
  <dcterms:modified xsi:type="dcterms:W3CDTF">2022-03-01T06:52:27Z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y fmtid="{D5CDD505-2E9C-101B-9397-08002B2CF9AE}" pid="3" name="ICV">
    <vt:lpwstr>3337831550AE437396BE05B3DEB4FAFB</vt:lpwstr>
  </property>
</Properties>
</file>