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cs="Times New Roman"/>
          <w:b w:val="0"/>
          <w:bCs w:val="0"/>
          <w:sz w:val="30"/>
          <w:lang w:eastAsia="zh-CN"/>
        </w:rPr>
      </w:pPr>
      <w:r>
        <w:rPr>
          <w:rFonts w:hint="eastAsia" w:ascii="方正小标宋_GBK" w:hAnsi="方正小标宋_GBK" w:eastAsia="方正小标宋_GBK" w:cs="Times New Roman"/>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eastAsia="宋体" w:cs="Times New Roman"/>
                <w:color w:val="000000"/>
                <w:kern w:val="0"/>
                <w:sz w:val="22"/>
              </w:rPr>
            </w:pPr>
            <w:r>
              <w:rPr>
                <w:rFonts w:ascii="Times New Roman" w:hAnsi="宋体" w:eastAsia="宋体" w:cs="Times New Roman"/>
                <w:color w:val="000000"/>
                <w:kern w:val="0"/>
                <w:sz w:val="22"/>
              </w:rPr>
              <w:t>序号</w:t>
            </w:r>
          </w:p>
        </w:tc>
        <w:tc>
          <w:tcPr>
            <w:tcW w:w="216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eastAsia="宋体" w:cs="Times New Roman"/>
                <w:color w:val="000000"/>
                <w:kern w:val="0"/>
                <w:sz w:val="22"/>
              </w:rPr>
            </w:pPr>
          </w:p>
        </w:tc>
        <w:tc>
          <w:tcPr>
            <w:tcW w:w="90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noWrap w:val="0"/>
            <w:vAlign w:val="center"/>
          </w:tcPr>
          <w:p>
            <w:pPr>
              <w:widowControl/>
              <w:jc w:val="left"/>
              <w:rPr>
                <w:rFonts w:ascii="黑体" w:hAnsi="宋体" w:eastAsia="黑体" w:cs="宋体"/>
                <w:color w:val="000000"/>
                <w:kern w:val="0"/>
                <w:sz w:val="22"/>
              </w:rPr>
            </w:pPr>
          </w:p>
        </w:tc>
        <w:tc>
          <w:tcPr>
            <w:tcW w:w="1800" w:type="dxa"/>
            <w:vMerge w:val="continue"/>
            <w:noWrap w:val="0"/>
            <w:vAlign w:val="center"/>
          </w:tcPr>
          <w:p>
            <w:pPr>
              <w:widowControl/>
              <w:jc w:val="left"/>
              <w:rPr>
                <w:rFonts w:ascii="黑体" w:hAnsi="宋体" w:eastAsia="黑体" w:cs="宋体"/>
                <w:color w:val="000000"/>
                <w:kern w:val="0"/>
                <w:sz w:val="22"/>
              </w:rPr>
            </w:pPr>
          </w:p>
        </w:tc>
        <w:tc>
          <w:tcPr>
            <w:tcW w:w="1402" w:type="dxa"/>
            <w:vMerge w:val="continue"/>
            <w:noWrap w:val="0"/>
            <w:vAlign w:val="center"/>
          </w:tcPr>
          <w:p>
            <w:pPr>
              <w:widowControl/>
              <w:jc w:val="left"/>
              <w:rPr>
                <w:rFonts w:ascii="黑体" w:hAnsi="宋体" w:eastAsia="黑体" w:cs="宋体"/>
                <w:color w:val="000000"/>
                <w:kern w:val="0"/>
                <w:sz w:val="22"/>
              </w:rPr>
            </w:pPr>
          </w:p>
        </w:tc>
        <w:tc>
          <w:tcPr>
            <w:tcW w:w="1440" w:type="dxa"/>
            <w:vMerge w:val="continue"/>
            <w:noWrap w:val="0"/>
            <w:vAlign w:val="center"/>
          </w:tcPr>
          <w:p>
            <w:pPr>
              <w:widowControl/>
              <w:jc w:val="left"/>
              <w:rPr>
                <w:rFonts w:ascii="黑体" w:hAnsi="宋体" w:eastAsia="黑体" w:cs="宋体"/>
                <w:color w:val="000000"/>
                <w:kern w:val="0"/>
                <w:sz w:val="22"/>
              </w:rPr>
            </w:pPr>
          </w:p>
        </w:tc>
        <w:tc>
          <w:tcPr>
            <w:tcW w:w="2018" w:type="dxa"/>
            <w:vMerge w:val="continue"/>
            <w:noWrap w:val="0"/>
            <w:vAlign w:val="center"/>
          </w:tcPr>
          <w:p>
            <w:pPr>
              <w:widowControl/>
              <w:jc w:val="left"/>
              <w:rPr>
                <w:rFonts w:ascii="黑体" w:hAnsi="宋体" w:eastAsia="黑体" w:cs="宋体"/>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trPr>
        <w:tc>
          <w:tcPr>
            <w:tcW w:w="540" w:type="dxa"/>
            <w:noWrap w:val="0"/>
            <w:vAlign w:val="center"/>
          </w:tcPr>
          <w:p>
            <w:pPr>
              <w:widowControl/>
              <w:jc w:val="center"/>
              <w:rPr>
                <w:rFonts w:ascii="Times New Roman" w:hAnsi="Times New Roman" w:eastAsia="宋体" w:cs="Times New Roman"/>
                <w:color w:val="000000"/>
                <w:kern w:val="0"/>
                <w:sz w:val="16"/>
                <w:szCs w:val="16"/>
              </w:rPr>
            </w:pPr>
            <w:r>
              <w:rPr>
                <w:rFonts w:hint="eastAsia" w:ascii="Times New Roman" w:hAnsi="Times New Roman" w:eastAsia="宋体" w:cs="Times New Roman"/>
                <w:color w:val="000000"/>
                <w:kern w:val="0"/>
                <w:sz w:val="16"/>
                <w:szCs w:val="16"/>
              </w:rPr>
              <w:t>1</w:t>
            </w:r>
          </w:p>
        </w:tc>
        <w:tc>
          <w:tcPr>
            <w:tcW w:w="90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部门文件</w:t>
            </w:r>
          </w:p>
        </w:tc>
        <w:tc>
          <w:tcPr>
            <w:tcW w:w="126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农村危房改造相关文件</w:t>
            </w:r>
          </w:p>
        </w:tc>
        <w:tc>
          <w:tcPr>
            <w:tcW w:w="1980" w:type="dxa"/>
            <w:noWrap w:val="0"/>
            <w:vAlign w:val="center"/>
          </w:tcPr>
          <w:p>
            <w:pPr>
              <w:widowControl/>
              <w:rPr>
                <w:rFonts w:ascii="黑体" w:hAnsi="宋体" w:eastAsia="黑体" w:cs="宋体"/>
                <w:color w:val="000000"/>
                <w:kern w:val="0"/>
                <w:sz w:val="22"/>
              </w:rPr>
            </w:pPr>
            <w:r>
              <w:rPr>
                <w:rFonts w:hint="eastAsia" w:ascii="仿宋_GB2312" w:hAnsi="宋体" w:eastAsia="仿宋_GB2312" w:cs="Times New Roman"/>
                <w:color w:val="000000"/>
                <w:sz w:val="18"/>
                <w:szCs w:val="18"/>
              </w:rPr>
              <w:t>文件分类、生成日期、标题、文号、有效性、关键词和具体内容等</w:t>
            </w:r>
          </w:p>
        </w:tc>
        <w:tc>
          <w:tcPr>
            <w:tcW w:w="1800" w:type="dxa"/>
            <w:noWrap w:val="0"/>
            <w:vAlign w:val="center"/>
          </w:tcPr>
          <w:p>
            <w:pPr>
              <w:widowControl/>
              <w:rPr>
                <w:rFonts w:ascii="黑体" w:hAnsi="宋体" w:eastAsia="黑体" w:cs="宋体"/>
                <w:color w:val="000000"/>
                <w:kern w:val="0"/>
                <w:sz w:val="22"/>
              </w:rPr>
            </w:pPr>
            <w:r>
              <w:rPr>
                <w:rFonts w:hint="eastAsia" w:ascii="仿宋_GB2312" w:hAnsi="宋体" w:eastAsia="仿宋_GB2312" w:cs="Times New Roman"/>
                <w:color w:val="000000"/>
                <w:sz w:val="18"/>
                <w:szCs w:val="18"/>
              </w:rPr>
              <w:t>《政府信息公开条例》、《关于全面推进政务公开工作的意见》及其实施细则</w:t>
            </w:r>
          </w:p>
        </w:tc>
        <w:tc>
          <w:tcPr>
            <w:tcW w:w="1402" w:type="dxa"/>
            <w:noWrap w:val="0"/>
            <w:vAlign w:val="center"/>
          </w:tcPr>
          <w:p>
            <w:pPr>
              <w:widowControl/>
              <w:rPr>
                <w:rFonts w:ascii="黑体" w:hAnsi="宋体" w:eastAsia="黑体" w:cs="宋体"/>
                <w:color w:val="000000"/>
                <w:kern w:val="0"/>
                <w:sz w:val="22"/>
              </w:rPr>
            </w:pPr>
            <w:r>
              <w:rPr>
                <w:rFonts w:hint="eastAsia" w:ascii="仿宋_GB2312" w:hAnsi="宋体" w:eastAsia="仿宋_GB2312" w:cs="Times New Roman"/>
                <w:color w:val="000000"/>
                <w:sz w:val="18"/>
                <w:szCs w:val="18"/>
              </w:rPr>
              <w:t>信息形成之日起20个工作日内</w:t>
            </w:r>
          </w:p>
        </w:tc>
        <w:tc>
          <w:tcPr>
            <w:tcW w:w="1440" w:type="dxa"/>
            <w:noWrap w:val="0"/>
            <w:vAlign w:val="center"/>
          </w:tcPr>
          <w:p>
            <w:pPr>
              <w:widowControl/>
              <w:rPr>
                <w:rFonts w:hint="eastAsia" w:ascii="黑体" w:hAnsi="宋体" w:eastAsia="黑体" w:cs="宋体"/>
                <w:color w:val="000000"/>
                <w:kern w:val="0"/>
                <w:sz w:val="22"/>
                <w:lang w:eastAsia="zh-CN"/>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widowControl/>
              <w:rPr>
                <w:rFonts w:hint="eastAsia" w:ascii="黑体" w:hAnsi="宋体" w:eastAsia="仿宋_GB2312" w:cs="宋体"/>
                <w:kern w:val="0"/>
                <w:sz w:val="22"/>
                <w:lang w:eastAsia="zh-CN"/>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4" w:hRule="atLeas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2</w:t>
            </w:r>
          </w:p>
        </w:tc>
        <w:tc>
          <w:tcPr>
            <w:tcW w:w="90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计划实施</w:t>
            </w:r>
          </w:p>
        </w:tc>
        <w:tc>
          <w:tcPr>
            <w:tcW w:w="126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任务分配</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及时公开农村危房改造补助农户名单</w:t>
            </w:r>
          </w:p>
        </w:tc>
        <w:tc>
          <w:tcPr>
            <w:tcW w:w="1800" w:type="dxa"/>
            <w:noWrap w:val="0"/>
            <w:vAlign w:val="center"/>
          </w:tcPr>
          <w:p>
            <w:pPr>
              <w:widowControl/>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《住房城乡建设部 财政部 国务院扶贫办关于加强和完善建档立卡贫困户等重点对象农村危房改造若干问题的通知》等</w:t>
            </w:r>
          </w:p>
        </w:tc>
        <w:tc>
          <w:tcPr>
            <w:tcW w:w="1402" w:type="dxa"/>
            <w:noWrap w:val="0"/>
            <w:vAlign w:val="center"/>
          </w:tcPr>
          <w:p>
            <w:pPr>
              <w:widowControl/>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分配结果确定后20个工作日内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3</w:t>
            </w:r>
          </w:p>
        </w:tc>
        <w:tc>
          <w:tcPr>
            <w:tcW w:w="900" w:type="dxa"/>
            <w:noWrap w:val="0"/>
            <w:vAlign w:val="center"/>
          </w:tcPr>
          <w:p>
            <w:pPr>
              <w:jc w:val="cente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条件与标准</w:t>
            </w:r>
          </w:p>
        </w:tc>
        <w:tc>
          <w:tcPr>
            <w:tcW w:w="126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农村危房改造对象申请条件</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农村危房改造农户申请条件</w:t>
            </w:r>
          </w:p>
        </w:tc>
        <w:tc>
          <w:tcPr>
            <w:tcW w:w="1800" w:type="dxa"/>
            <w:noWrap w:val="0"/>
            <w:vAlign w:val="center"/>
          </w:tcPr>
          <w:p>
            <w:pPr>
              <w:jc w:val="left"/>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信息形成之日起20个工作日内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4</w:t>
            </w:r>
          </w:p>
        </w:tc>
        <w:tc>
          <w:tcPr>
            <w:tcW w:w="900" w:type="dxa"/>
            <w:vMerge w:val="restart"/>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对象认定</w:t>
            </w:r>
          </w:p>
        </w:tc>
        <w:tc>
          <w:tcPr>
            <w:tcW w:w="126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危改户认定程序</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农村危房改造申请程序</w:t>
            </w:r>
          </w:p>
        </w:tc>
        <w:tc>
          <w:tcPr>
            <w:tcW w:w="1800" w:type="dxa"/>
            <w:noWrap w:val="0"/>
            <w:vAlign w:val="center"/>
          </w:tcPr>
          <w:p>
            <w:pPr>
              <w:jc w:val="left"/>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s="Times New Roman"/>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信息形成之日起20个工作日内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5</w:t>
            </w:r>
          </w:p>
        </w:tc>
        <w:tc>
          <w:tcPr>
            <w:tcW w:w="900" w:type="dxa"/>
            <w:vMerge w:val="continue"/>
            <w:noWrap w:val="0"/>
            <w:vAlign w:val="center"/>
          </w:tcPr>
          <w:p>
            <w:pPr>
              <w:jc w:val="center"/>
              <w:rPr>
                <w:rFonts w:hint="eastAsia" w:ascii="仿宋_GB2312" w:hAnsi="宋体" w:eastAsia="仿宋_GB2312" w:cs="Times New Roman"/>
                <w:color w:val="000000"/>
                <w:sz w:val="18"/>
                <w:szCs w:val="18"/>
              </w:rPr>
            </w:pPr>
          </w:p>
        </w:tc>
        <w:tc>
          <w:tcPr>
            <w:tcW w:w="126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认定结果</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认定结果</w:t>
            </w:r>
          </w:p>
        </w:tc>
        <w:tc>
          <w:tcPr>
            <w:tcW w:w="1800" w:type="dxa"/>
            <w:noWrap w:val="0"/>
            <w:vAlign w:val="center"/>
          </w:tcPr>
          <w:p>
            <w:pPr>
              <w:jc w:val="left"/>
              <w:rPr>
                <w:rFonts w:hint="eastAsia" w:ascii="仿宋_GB2312" w:hAnsi="宋体" w:eastAsia="仿宋_GB2312" w:cs="Times New Roman"/>
                <w:color w:val="000000"/>
                <w:kern w:val="2"/>
                <w:sz w:val="18"/>
                <w:szCs w:val="18"/>
                <w:lang w:val="en-US" w:eastAsia="zh-CN" w:bidi="ar-SA"/>
              </w:rPr>
            </w:pPr>
            <w:r>
              <w:rPr>
                <w:rFonts w:hint="eastAsia" w:ascii="仿宋_GB2312" w:hAnsi="宋体" w:eastAsia="仿宋_GB2312" w:cs="Times New Roman"/>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信息形成之日起20个工作日内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6</w:t>
            </w:r>
          </w:p>
        </w:tc>
        <w:tc>
          <w:tcPr>
            <w:tcW w:w="90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年度任务实施</w:t>
            </w:r>
          </w:p>
        </w:tc>
        <w:tc>
          <w:tcPr>
            <w:tcW w:w="126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年度任务执行情况</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年度工作完成情况等</w:t>
            </w:r>
          </w:p>
        </w:tc>
        <w:tc>
          <w:tcPr>
            <w:tcW w:w="180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《关于全面推进政务公开工作的意见》及其实施细则</w:t>
            </w:r>
          </w:p>
        </w:tc>
        <w:tc>
          <w:tcPr>
            <w:tcW w:w="1402"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信息形成之日起20个工作日内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7</w:t>
            </w:r>
          </w:p>
        </w:tc>
        <w:tc>
          <w:tcPr>
            <w:tcW w:w="900" w:type="dxa"/>
            <w:vMerge w:val="restart"/>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舆情收集、热点及关键问题回应</w:t>
            </w:r>
          </w:p>
        </w:tc>
        <w:tc>
          <w:tcPr>
            <w:tcW w:w="126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舆情收集回应</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接受投诉、咨询、建议等联系电话、通信地址等</w:t>
            </w:r>
          </w:p>
        </w:tc>
        <w:tc>
          <w:tcPr>
            <w:tcW w:w="1800" w:type="dxa"/>
            <w:vMerge w:val="restart"/>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《政府信息公开条例》、《关于全面推进政务公开工作的意见》及其实施细则</w:t>
            </w:r>
          </w:p>
        </w:tc>
        <w:tc>
          <w:tcPr>
            <w:tcW w:w="1402" w:type="dxa"/>
            <w:noWrap w:val="0"/>
            <w:vAlign w:val="center"/>
          </w:tcPr>
          <w:p>
            <w:pPr>
              <w:ind w:right="-304" w:rightChars="-145"/>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信息形成之日</w:t>
            </w:r>
          </w:p>
          <w:p>
            <w:pPr>
              <w:ind w:right="-304" w:rightChars="-145"/>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起20个工作日</w:t>
            </w:r>
          </w:p>
          <w:p>
            <w:pPr>
              <w:ind w:right="-304" w:rightChars="-145"/>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内</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2" w:hRule="atLeast"/>
        </w:trPr>
        <w:tc>
          <w:tcPr>
            <w:tcW w:w="540" w:type="dxa"/>
            <w:noWrap w:val="0"/>
            <w:vAlign w:val="center"/>
          </w:tcPr>
          <w:p>
            <w:pPr>
              <w:widowControl/>
              <w:jc w:val="center"/>
              <w:rPr>
                <w:rFonts w:hint="eastAsia" w:ascii="Times New Roman" w:hAnsi="Times New Roman" w:eastAsia="宋体" w:cs="Times New Roman"/>
                <w:color w:val="000000"/>
                <w:kern w:val="0"/>
                <w:sz w:val="16"/>
                <w:szCs w:val="16"/>
                <w:lang w:val="en-US" w:eastAsia="zh-CN"/>
              </w:rPr>
            </w:pPr>
            <w:r>
              <w:rPr>
                <w:rFonts w:hint="eastAsia" w:ascii="Times New Roman" w:hAnsi="Times New Roman" w:cs="Times New Roman"/>
                <w:color w:val="000000"/>
                <w:kern w:val="0"/>
                <w:sz w:val="16"/>
                <w:szCs w:val="16"/>
                <w:lang w:val="en-US" w:eastAsia="zh-CN"/>
              </w:rPr>
              <w:t>8</w:t>
            </w:r>
          </w:p>
        </w:tc>
        <w:tc>
          <w:tcPr>
            <w:tcW w:w="900" w:type="dxa"/>
            <w:vMerge w:val="continue"/>
            <w:noWrap w:val="0"/>
            <w:vAlign w:val="center"/>
          </w:tcPr>
          <w:p>
            <w:pPr>
              <w:jc w:val="center"/>
              <w:rPr>
                <w:rFonts w:hint="eastAsia" w:ascii="仿宋_GB2312" w:hAnsi="宋体" w:eastAsia="仿宋_GB2312" w:cs="Times New Roman"/>
                <w:color w:val="000000"/>
                <w:sz w:val="18"/>
                <w:szCs w:val="18"/>
              </w:rPr>
            </w:pPr>
          </w:p>
        </w:tc>
        <w:tc>
          <w:tcPr>
            <w:tcW w:w="126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互动回应</w:t>
            </w:r>
          </w:p>
        </w:tc>
        <w:tc>
          <w:tcPr>
            <w:tcW w:w="198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涉及群众切身利益和舆论关注的焦点、热点及关键问题等回应内容</w:t>
            </w:r>
          </w:p>
        </w:tc>
        <w:tc>
          <w:tcPr>
            <w:tcW w:w="1800" w:type="dxa"/>
            <w:vMerge w:val="continue"/>
            <w:noWrap w:val="0"/>
            <w:vAlign w:val="center"/>
          </w:tcPr>
          <w:p>
            <w:pPr>
              <w:rPr>
                <w:rFonts w:hint="eastAsia" w:ascii="仿宋_GB2312" w:hAnsi="宋体" w:eastAsia="仿宋_GB2312" w:cs="Times New Roman"/>
                <w:color w:val="000000"/>
                <w:sz w:val="18"/>
                <w:szCs w:val="18"/>
              </w:rPr>
            </w:pPr>
          </w:p>
        </w:tc>
        <w:tc>
          <w:tcPr>
            <w:tcW w:w="1402"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及时发布信息；对涉及重大舆情的，要快速反应，并根据工作进展情况，持续发布信息。</w:t>
            </w:r>
          </w:p>
        </w:tc>
        <w:tc>
          <w:tcPr>
            <w:tcW w:w="1440"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lang w:eastAsia="zh-CN"/>
              </w:rPr>
              <w:t>乡村规划建设监督管理办公室</w:t>
            </w:r>
            <w:bookmarkStart w:id="0" w:name="_GoBack"/>
            <w:bookmarkEnd w:id="0"/>
          </w:p>
        </w:tc>
        <w:tc>
          <w:tcPr>
            <w:tcW w:w="2018" w:type="dxa"/>
            <w:noWrap w:val="0"/>
            <w:vAlign w:val="center"/>
          </w:tcPr>
          <w:p>
            <w:pP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政府门户网站、</w:t>
            </w:r>
            <w:r>
              <w:rPr>
                <w:rFonts w:ascii="Times New Roman" w:hAnsi="Times New Roman" w:eastAsia="仿宋_GB2312"/>
                <w:bCs/>
                <w:kern w:val="0"/>
                <w:szCs w:val="21"/>
              </w:rPr>
              <w:t>社区/企事业单位/村公示栏（电子屏</w:t>
            </w:r>
            <w:r>
              <w:rPr>
                <w:rFonts w:hint="eastAsia" w:ascii="Times New Roman" w:hAnsi="Times New Roman" w:eastAsia="仿宋_GB2312"/>
                <w:bCs/>
                <w:kern w:val="0"/>
                <w:szCs w:val="21"/>
                <w:lang w:eastAsia="zh-CN"/>
              </w:rPr>
              <w:t>）</w:t>
            </w: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09" w:type="dxa"/>
            <w:noWrap w:val="0"/>
            <w:vAlign w:val="center"/>
          </w:tcPr>
          <w:p>
            <w:pPr>
              <w:jc w:val="center"/>
              <w:rPr>
                <w:rFonts w:hint="eastAsia" w:ascii="仿宋_GB2312" w:hAnsi="宋体" w:eastAsia="仿宋_GB2312" w:cs="Times New Roman"/>
                <w:color w:val="000000"/>
                <w:sz w:val="18"/>
                <w:szCs w:val="18"/>
              </w:rPr>
            </w:pPr>
          </w:p>
        </w:tc>
        <w:tc>
          <w:tcPr>
            <w:tcW w:w="551"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p>
        </w:tc>
        <w:tc>
          <w:tcPr>
            <w:tcW w:w="720" w:type="dxa"/>
            <w:noWrap w:val="0"/>
            <w:vAlign w:val="center"/>
          </w:tcPr>
          <w:p>
            <w:pPr>
              <w:jc w:val="center"/>
              <w:rPr>
                <w:rFonts w:hint="eastAsia" w:ascii="仿宋_GB2312" w:hAnsi="宋体" w:eastAsia="仿宋_GB2312" w:cs="Times New Roman"/>
                <w:color w:val="000000"/>
                <w:sz w:val="18"/>
                <w:szCs w:val="18"/>
              </w:rPr>
            </w:pPr>
            <w:r>
              <w:rPr>
                <w:rFonts w:hint="eastAsia" w:ascii="仿宋_GB2312" w:hAnsi="宋体" w:eastAsia="仿宋_GB2312" w:cs="Times New Roman"/>
                <w:color w:val="000000"/>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212C9"/>
    <w:rsid w:val="72121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keepNext/>
      <w:keepLines/>
      <w:widowControl w:val="0"/>
      <w:spacing w:before="340" w:after="330" w:line="578" w:lineRule="auto"/>
      <w:jc w:val="both"/>
      <w:outlineLvl w:val="0"/>
    </w:pPr>
    <w:rPr>
      <w:rFonts w:ascii="Calibri" w:hAnsi="Calibri" w:eastAsia="宋体" w:cs="Times New Roman"/>
      <w:b/>
      <w:bCs/>
      <w:kern w:val="44"/>
      <w:sz w:val="44"/>
      <w:szCs w:val="4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2020-11-17T02:41:00Z</dcterms:created>
  <dc:creator>Administrator</dc:creator>
  <cp:lastModifiedBy>Administrator</cp:lastModifiedBy>
  <dcterms:modified xsi:type="dcterms:W3CDTF">2020-11-17T02:57:12Z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