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8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491"/>
        <w:gridCol w:w="360"/>
        <w:gridCol w:w="240"/>
        <w:gridCol w:w="598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中国石化催化剂有限公司齐鲁分公司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9137030077104858XF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21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117 50 15.18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36 46 41.34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未核发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4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3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化学试剂和助剂制造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山东省淄博市周村区体育场路1号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张志民</w:t>
            </w:r>
          </w:p>
        </w:tc>
        <w:tc>
          <w:tcPr>
            <w:tcW w:w="121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郑育明</w:t>
            </w:r>
          </w:p>
        </w:tc>
        <w:tc>
          <w:tcPr>
            <w:tcW w:w="121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催化裂化催化剂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12.3万吨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1、污水：COD、氨氮、总磷、总氮，连续排放；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2、尾气：二氧化硫、氮氧化物、颗粒物，连续排放。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废机油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废液压油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废导热油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废油桶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废电池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化验室废液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废试剂瓶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废变压器油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废油漆桶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HW08  900-217-08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HW08  900-218-08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HW08  900-249-08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HW49  900-041-49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HW49  900-044-49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HW49  900-047-49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HW49  900-047-49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HW08  900-220-08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HW08  900-041-49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4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3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9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1.5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1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0.8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0.3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2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1.5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资质单位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1、污水排放口1个，位于厂区供排水车间生化装置；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2、尾气排放口29个，催一车间4个、催二车间4个、联二车间8个、分一车间2个、分二车间3个、联一车间6个、特分车间1个、研发中心1个。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1、2018年COD排放浓度均值53.5mg/L，排放总量69t;氨氮排放浓度均值2.43mg/L，排放总量2.87t;总磷排放浓度均值0.970mg/L,排放总量1.26t;总氮排放浓度均值68.3mgL,排放总量88.7t。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2、2018年二氧化硫排放浓度3mg/m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,氮氧化物排放浓度70mg/m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,颗粒物排放浓度10mg/m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ind w:firstLineChars="0"/>
              <w:jc w:val="left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污水：总氮执行《催化剂齐鲁分公司与淦清污水处理厂签订的污水处理补充协议标准》，总氮排放浓度</w:t>
            </w:r>
            <w:r>
              <w:rPr>
                <w:rFonts w:hint="eastAsia" w:ascii="仿宋" w:hAnsi="仿宋" w:eastAsia="仿宋" w:cs="方正小标宋_GBK"/>
                <w:kern w:val="0"/>
                <w:sz w:val="13"/>
                <w:szCs w:val="13"/>
              </w:rPr>
              <w:t>≤</w:t>
            </w: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110mg/L，其他执行《污水排入城镇下水道水质标准》（GB/T31962-2015）B级标准。</w:t>
            </w:r>
          </w:p>
          <w:p>
            <w:pPr>
              <w:pStyle w:val="1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ind w:firstLineChars="0"/>
              <w:jc w:val="left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尾气执行《山东省区域性大气污染物综合排放标准》(DB37/2376-2013)第三时段现有企业以清油、天然气等为燃料的炉窑或电炉</w:t>
            </w:r>
          </w:p>
          <w:p>
            <w:pPr>
              <w:pStyle w:val="1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ind w:firstLineChars="0"/>
              <w:jc w:val="left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核定总量：</w:t>
            </w:r>
          </w:p>
          <w:p>
            <w:pPr>
              <w:pStyle w:val="14"/>
              <w:autoSpaceDE w:val="0"/>
              <w:autoSpaceDN w:val="0"/>
              <w:adjustRightInd w:val="0"/>
              <w:spacing w:line="360" w:lineRule="exact"/>
              <w:ind w:left="360" w:firstLine="0" w:firstLineChars="0"/>
              <w:jc w:val="left"/>
              <w:rPr>
                <w:rFonts w:ascii="仿宋_GB2312" w:hAnsi="黑体" w:eastAsia="仿宋_GB2312" w:cs="方正小标宋_GBK"/>
                <w:kern w:val="0"/>
                <w:sz w:val="13"/>
                <w:szCs w:val="13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氨氮：120t/a，SO</w:t>
            </w: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  <w:vertAlign w:val="subscript"/>
              </w:rPr>
              <w:t>2</w:t>
            </w: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：37t/a，COD：1324t/a，NO</w:t>
            </w: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  <w:vertAlign w:val="subscript"/>
              </w:rPr>
              <w:t>X</w:t>
            </w:r>
            <w:r>
              <w:rPr>
                <w:rFonts w:hint="eastAsia" w:ascii="仿宋_GB2312" w:hAnsi="黑体" w:eastAsia="仿宋_GB2312" w:cs="方正小标宋_GBK"/>
                <w:kern w:val="0"/>
                <w:sz w:val="13"/>
                <w:szCs w:val="13"/>
              </w:rPr>
              <w:t>:74t/a，颗粒物：159t/a。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1、污水处理系统分为综合污水预处理装置、高氨氮污水脱氨装置、污水生化处理装置，各污水处理设施均正常可控运行，实现污水达标排放。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2、有组织废气污染物治理设施：分子筛车间焙烧尾气：废气经除尘器、急冷塔、吸收塔吸收净化后，通过排气筒排放；催化剂车间的喷雾干燥尾气：经旋风除尘后，再经湍冲塔、文丘里吸收塔吸收、净化后，通过排气筒排放；催化剂车间的焙烧炉尾气：经过旋风除尘后，再经急冷塔、吸收塔吸收净化后，通过排气筒排放；催化剂车间的气流干燥尾气：经布袋除尘后再经急冷塔、吸收塔吸收，净化后通过排气筒排放；各尾气处理设施均处于正常可控运行状态，实现尾气达标排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见附页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已制定应急预案，并在区环境生态局备案，备案号370306-2017-037M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r>
        <w:rPr>
          <w:rFonts w:hint="eastAsia"/>
        </w:rPr>
        <w:t>附页：</w:t>
      </w:r>
    </w:p>
    <w:p>
      <w:pPr>
        <w:pStyle w:val="2"/>
        <w:jc w:val="center"/>
      </w:pPr>
      <w:r>
        <w:rPr>
          <w:rFonts w:hint="eastAsia"/>
        </w:rPr>
        <w:t>建设项目环境影响评价及其他环境保护行政许可情况</w:t>
      </w:r>
    </w:p>
    <w:tbl>
      <w:tblPr>
        <w:tblStyle w:val="7"/>
        <w:tblW w:w="12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3281"/>
        <w:gridCol w:w="2360"/>
        <w:gridCol w:w="3013"/>
        <w:gridCol w:w="3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环评批复时间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环评批复文号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环评批复单位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28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5万t/a裂化催化剂联合生产装置一期工程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2008.1.21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鲁环审〔2008〕14号    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山东省环境保护局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催化剂掺混装置建设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2011.11.21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淄环报告表[2011]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催化剂减压汽提脱氨装置建设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2011.12.9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淄环报告表[2011]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206号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催化剂分析评价系统改造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2011.4.19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登记表(无文号)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淄博市环保局周村分局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50000t/a裂化催化剂联合生产装置二期工程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2012.4.24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淄环审[2012]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齐鲁催化剂一车间提高产品质量技术改造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2012.7.17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登记表(无文号)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淄博市环保局周村分局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喷雾和气流尾气吸收系统改造项目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2013.1.10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周环审[2012]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淄博市环保局周村分局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5万吨一期分子筛装置结构稳定生产系统改造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2014.12.12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淄环报告表[2014]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159号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齐鲁污水预处理装置石灰投加、中和及三沉系统建设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2015.4.13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周环报告表[2015]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68号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淄博市环保局周村分局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5万吨一期催化剂装置提高质量、降低能耗技术改造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2015.5.28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淄环审[2015]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110号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催二车间助剂平台建设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2018.3.15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淄环审[2018]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中型试验装置完善改造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2018.3.15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淄环审[2018]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综合污水近零排放装置建设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2018.6.11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周环报告表[2018]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59号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淄博市环保局周村分局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高稳定分子筛反应尾气中HCL吸收回用技术改造项目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2018.5.28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周环报告表[2018]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59号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淄博市环保局周村分局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催化裂化催化剂生产装置技术改造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2002.4.25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无文号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山东省环境保护局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齐鲁中型试验装置适应氧氯化催化剂生产改造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2012..1.20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淄环报告表[2012]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32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连续化结构稳定Y型分子筛生产装置改造</w:t>
            </w:r>
          </w:p>
        </w:tc>
        <w:tc>
          <w:tcPr>
            <w:tcW w:w="23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2010.5.27</w:t>
            </w:r>
          </w:p>
        </w:tc>
        <w:tc>
          <w:tcPr>
            <w:tcW w:w="3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淄环报告表[2010]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42号</w:t>
            </w:r>
          </w:p>
        </w:tc>
        <w:tc>
          <w:tcPr>
            <w:tcW w:w="31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淄博市环境保护局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A358E0"/>
    <w:multiLevelType w:val="multilevel"/>
    <w:tmpl w:val="66A358E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225F63"/>
    <w:rsid w:val="000247D2"/>
    <w:rsid w:val="00077A82"/>
    <w:rsid w:val="000925F7"/>
    <w:rsid w:val="000A33E0"/>
    <w:rsid w:val="000B7BCC"/>
    <w:rsid w:val="000D0244"/>
    <w:rsid w:val="000E61AF"/>
    <w:rsid w:val="000F3338"/>
    <w:rsid w:val="001102A0"/>
    <w:rsid w:val="001319E6"/>
    <w:rsid w:val="00131F7A"/>
    <w:rsid w:val="001355B2"/>
    <w:rsid w:val="00164912"/>
    <w:rsid w:val="00186C50"/>
    <w:rsid w:val="001C6971"/>
    <w:rsid w:val="001D454F"/>
    <w:rsid w:val="001E7D4A"/>
    <w:rsid w:val="001F2A52"/>
    <w:rsid w:val="002319C2"/>
    <w:rsid w:val="00292596"/>
    <w:rsid w:val="002E2208"/>
    <w:rsid w:val="002F2E97"/>
    <w:rsid w:val="00300ED4"/>
    <w:rsid w:val="00316F8F"/>
    <w:rsid w:val="0038216C"/>
    <w:rsid w:val="0039007C"/>
    <w:rsid w:val="003A3383"/>
    <w:rsid w:val="003D0B6A"/>
    <w:rsid w:val="003D0CE4"/>
    <w:rsid w:val="004416EA"/>
    <w:rsid w:val="004449D7"/>
    <w:rsid w:val="00452FE1"/>
    <w:rsid w:val="0049631C"/>
    <w:rsid w:val="004C5046"/>
    <w:rsid w:val="004E7AE5"/>
    <w:rsid w:val="004F2EC4"/>
    <w:rsid w:val="00512B56"/>
    <w:rsid w:val="005261CF"/>
    <w:rsid w:val="00526756"/>
    <w:rsid w:val="005355B4"/>
    <w:rsid w:val="0053591A"/>
    <w:rsid w:val="00547EAE"/>
    <w:rsid w:val="00556003"/>
    <w:rsid w:val="00561245"/>
    <w:rsid w:val="00571619"/>
    <w:rsid w:val="005859A6"/>
    <w:rsid w:val="00594DC2"/>
    <w:rsid w:val="005B0167"/>
    <w:rsid w:val="005E6ED1"/>
    <w:rsid w:val="00644691"/>
    <w:rsid w:val="00653837"/>
    <w:rsid w:val="006560A2"/>
    <w:rsid w:val="006B2278"/>
    <w:rsid w:val="00704815"/>
    <w:rsid w:val="00711576"/>
    <w:rsid w:val="0073135D"/>
    <w:rsid w:val="007877A9"/>
    <w:rsid w:val="007A0096"/>
    <w:rsid w:val="007C6A6F"/>
    <w:rsid w:val="00802387"/>
    <w:rsid w:val="0081222B"/>
    <w:rsid w:val="00814448"/>
    <w:rsid w:val="00826C98"/>
    <w:rsid w:val="00842071"/>
    <w:rsid w:val="00867492"/>
    <w:rsid w:val="008C3A0B"/>
    <w:rsid w:val="00901BA2"/>
    <w:rsid w:val="0092540D"/>
    <w:rsid w:val="00983887"/>
    <w:rsid w:val="009A0C63"/>
    <w:rsid w:val="009B6235"/>
    <w:rsid w:val="009F242B"/>
    <w:rsid w:val="00A366CE"/>
    <w:rsid w:val="00A649A6"/>
    <w:rsid w:val="00A93D1E"/>
    <w:rsid w:val="00AC732C"/>
    <w:rsid w:val="00B00A4B"/>
    <w:rsid w:val="00B06E67"/>
    <w:rsid w:val="00B43C5F"/>
    <w:rsid w:val="00C80798"/>
    <w:rsid w:val="00C91B77"/>
    <w:rsid w:val="00CC67AB"/>
    <w:rsid w:val="00CD5B03"/>
    <w:rsid w:val="00CF2D53"/>
    <w:rsid w:val="00D35031"/>
    <w:rsid w:val="00D563C2"/>
    <w:rsid w:val="00DA255D"/>
    <w:rsid w:val="00DD1DAF"/>
    <w:rsid w:val="00DD6BB9"/>
    <w:rsid w:val="00DD7660"/>
    <w:rsid w:val="00E16230"/>
    <w:rsid w:val="00E95E10"/>
    <w:rsid w:val="00E979A1"/>
    <w:rsid w:val="00EA359D"/>
    <w:rsid w:val="00ED7059"/>
    <w:rsid w:val="00F03A46"/>
    <w:rsid w:val="00F2249F"/>
    <w:rsid w:val="00F4239B"/>
    <w:rsid w:val="00F60317"/>
    <w:rsid w:val="00FA0532"/>
    <w:rsid w:val="061E1109"/>
    <w:rsid w:val="0AAF5D8D"/>
    <w:rsid w:val="1F374F2D"/>
    <w:rsid w:val="2E9D0CDB"/>
    <w:rsid w:val="30E13EC2"/>
    <w:rsid w:val="351604D1"/>
    <w:rsid w:val="48050449"/>
    <w:rsid w:val="5AA97288"/>
    <w:rsid w:val="5CF75D19"/>
    <w:rsid w:val="6DFE00D7"/>
    <w:rsid w:val="7A225F63"/>
    <w:rsid w:val="7B9845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563C1" w:themeColor="hyperlink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B9022-DD71-45AA-8656-271017FEB0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392</Words>
  <Characters>2241</Characters>
  <Lines>18</Lines>
  <Paragraphs>5</Paragraphs>
  <TotalTime>12</TotalTime>
  <ScaleCrop>false</ScaleCrop>
  <LinksUpToDate>false</LinksUpToDate>
  <CharactersWithSpaces>2628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2019-05-09T06:09:00Z</cp:lastPrinted>
  <dcterms:modified xsi:type="dcterms:W3CDTF">2023-09-13T01:16:19Z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CA8C53A54B0E4CA7834687DA3503572B</vt:lpwstr>
  </property>
</Properties>
</file>