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5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淄博正鑫纺织有限公司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91370306062980163X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117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’</w:t>
            </w: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48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’</w:t>
            </w: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31.43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”</w:t>
            </w:r>
          </w:p>
          <w:p>
            <w:pP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36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’</w:t>
            </w: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47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’</w:t>
            </w:r>
            <w:r>
              <w:rPr>
                <w:rFonts w:hint="eastAsia" w:ascii="仿宋_GB2312" w:hAnsi="黑体" w:eastAsia="仿宋_GB2312" w:cs="方正小标宋_GBK"/>
                <w:kern w:val="0"/>
                <w:sz w:val="11"/>
                <w:szCs w:val="18"/>
              </w:rPr>
              <w:t>36.64</w:t>
            </w:r>
            <w:r>
              <w:rPr>
                <w:rFonts w:ascii="仿宋_GB2312" w:hAnsi="黑体" w:eastAsia="仿宋_GB2312" w:cs="方正小标宋_GBK"/>
                <w:kern w:val="0"/>
                <w:sz w:val="11"/>
                <w:szCs w:val="18"/>
              </w:rPr>
              <w:t>”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91370306062980163X001P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棉纺织及印染精加工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淄博市周村区和平工业园内工业二路西首西侧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祝彦生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张东春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产品名称：色纱   800吨/年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COD、氨氮、总磷、总氮、悬浮物、五日生化氧化 、色度、 PH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/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/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/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废水排口：1个 雨水排口：1个   污水处理废气排口：1个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排放标准：COD:200mg/L 氨氮20mg/L 总磷1.5 mg/L 总氮30 mg/L 悬浮物100 mg/L 五日生化50 mg/L 色度80 mg/L PH6-9 核定总量：COD:13.6t/a  氨氮1.36t/a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废水排放执行标准（GB4287-2012）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防治设施完善    运行情况正常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许可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张东春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1"/>
              </w:rPr>
              <w:t xml:space="preserve">    2019年5月9日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4EE"/>
    <w:rsid w:val="00342406"/>
    <w:rsid w:val="005223A0"/>
    <w:rsid w:val="006F357D"/>
    <w:rsid w:val="00A534EE"/>
    <w:rsid w:val="00D85239"/>
    <w:rsid w:val="00E60D80"/>
    <w:rsid w:val="2D56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</Words>
  <Characters>684</Characters>
  <Lines>5</Lines>
  <Paragraphs>1</Paragraphs>
  <TotalTime>3</TotalTime>
  <ScaleCrop>false</ScaleCrop>
  <LinksUpToDate>false</LinksUpToDate>
  <CharactersWithSpaces>802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2019-05-09T08:56:00Z</dcterms:created>
  <dc:creator>admin</dc:creator>
  <cp:lastModifiedBy>color</cp:lastModifiedBy>
  <dcterms:modified xsi:type="dcterms:W3CDTF">2023-09-13T01:18:17Z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BC3C3BEE614942AC9ABF07DB1E3D7695</vt:lpwstr>
  </property>
</Properties>
</file>