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2019年环境行政执法总体情况</w:t>
      </w:r>
    </w:p>
    <w:bookmarkEnd w:id="0"/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2019年，我局不断</w:t>
      </w:r>
      <w:r>
        <w:rPr>
          <w:rFonts w:hint="eastAsia" w:ascii="仿宋" w:hAnsi="仿宋" w:eastAsia="仿宋" w:cs="仿宋"/>
          <w:sz w:val="32"/>
          <w:szCs w:val="32"/>
        </w:rPr>
        <w:t>强化环境执法工作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，加密执法检查频次，具体总结情况如下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严格行政处罚程序，进一步加大执法力度，打击环境违法行为。今年对82家企业的违法行为立案查处,已结案41起。二是做好执法培训和执法证件管理。组织全局工作人员分2批参加湖南大学培训，有效提高全体人员的综合素质，为工作开展打好基础。开展执法、普法培训，组织各类培训班，培训镇办人员、网格员和企业人员300余人次。做好执法人员登记变更、验证考试、新办理执法人员证件考试等工作，目前已变更登记，新申领人员已上报，等待通知参加全市执法证考试。三是做好刑责治污工作，截止目前，共移交公安部门案件9起，已办理完毕8起，行政拘留8人。四是做好复议、庭审等工作。今年区法院受理2起企业起诉我局行政处罚案件，目前已经庭审，等待法院判决。</w:t>
      </w:r>
    </w:p>
    <w:sectPr>
      <w:pgSz w:w="11906" w:h="16838"/>
      <w:pgMar w:top="204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0552C"/>
    <w:rsid w:val="532779C7"/>
    <w:rsid w:val="61CC6DE5"/>
    <w:rsid w:val="71E055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2020-12-09T10:39:00Z</dcterms:created>
  <dc:creator>color ok</dc:creator>
  <cp:lastModifiedBy>color ok</cp:lastModifiedBy>
  <dcterms:modified xsi:type="dcterms:W3CDTF">2020-12-09T10:42:02Z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