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周村区王村镇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2022年政府信息公开工作年度报告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微软雅黑" w:eastAsia="仿宋_GB2312" w:cs="仿宋_GB2312"/>
          <w:color w:val="333333"/>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微软雅黑" w:eastAsia="仿宋_GB2312" w:cs="仿宋_GB2312"/>
          <w:color w:val="333333"/>
          <w:spacing w:val="0"/>
          <w:sz w:val="32"/>
          <w:szCs w:val="32"/>
          <w:shd w:val="clear" w:fill="FFFFFF"/>
        </w:rPr>
      </w:pPr>
      <w:r>
        <w:rPr>
          <w:rFonts w:hint="eastAsia" w:ascii="仿宋_GB2312" w:hAnsi="微软雅黑" w:eastAsia="仿宋_GB2312" w:cs="仿宋_GB2312"/>
          <w:color w:val="333333"/>
          <w:spacing w:val="0"/>
          <w:sz w:val="32"/>
          <w:szCs w:val="32"/>
          <w:shd w:val="clear" w:fill="FFFFFF"/>
          <w:lang w:eastAsia="zh-CN"/>
        </w:rPr>
        <w:t>王村镇</w:t>
      </w:r>
      <w:r>
        <w:rPr>
          <w:rFonts w:hint="default" w:ascii="仿宋_GB2312" w:hAnsi="微软雅黑" w:eastAsia="仿宋_GB2312" w:cs="仿宋_GB2312"/>
          <w:color w:val="333333"/>
          <w:spacing w:val="0"/>
          <w:sz w:val="32"/>
          <w:szCs w:val="32"/>
          <w:shd w:val="clear" w:fill="FFFFFF"/>
        </w:rPr>
        <w:t>2022年度政府信息公开工作年度报告根据《中华人民共和国政府信息公开条例》（以下简称《条例》）、《国务院办公厅政府信息与政务公开办公室关于印发及省、市、县各级关于政府信息公开工作的有关规定编制而成，特向社会公布2022年度</w:t>
      </w:r>
      <w:r>
        <w:rPr>
          <w:rFonts w:hint="eastAsia" w:ascii="仿宋_GB2312" w:hAnsi="微软雅黑" w:eastAsia="仿宋_GB2312" w:cs="仿宋_GB2312"/>
          <w:color w:val="333333"/>
          <w:spacing w:val="0"/>
          <w:sz w:val="32"/>
          <w:szCs w:val="32"/>
          <w:shd w:val="clear" w:fill="FFFFFF"/>
          <w:lang w:eastAsia="zh-CN"/>
        </w:rPr>
        <w:t>王村</w:t>
      </w:r>
      <w:r>
        <w:rPr>
          <w:rFonts w:hint="default" w:ascii="仿宋_GB2312" w:hAnsi="微软雅黑" w:eastAsia="仿宋_GB2312" w:cs="仿宋_GB2312"/>
          <w:color w:val="333333"/>
          <w:spacing w:val="0"/>
          <w:sz w:val="32"/>
          <w:szCs w:val="32"/>
          <w:shd w:val="clear" w:fill="FFFFFF"/>
        </w:rPr>
        <w:t>镇政府信息公开年度报告。全文包括总体情况、</w:t>
      </w:r>
      <w:r>
        <w:rPr>
          <w:rFonts w:hint="eastAsia" w:ascii="仿宋_GB2312" w:hAnsi="微软雅黑" w:eastAsia="仿宋_GB2312" w:cs="仿宋_GB2312"/>
          <w:color w:val="333333"/>
          <w:spacing w:val="0"/>
          <w:sz w:val="32"/>
          <w:szCs w:val="32"/>
          <w:shd w:val="clear" w:fill="FFFFFF"/>
          <w:lang w:eastAsia="zh-CN"/>
        </w:rPr>
        <w:t>行政机关</w:t>
      </w:r>
      <w:r>
        <w:rPr>
          <w:rFonts w:hint="default" w:ascii="仿宋_GB2312" w:hAnsi="微软雅黑" w:eastAsia="仿宋_GB2312" w:cs="仿宋_GB2312"/>
          <w:color w:val="333333"/>
          <w:spacing w:val="0"/>
          <w:sz w:val="32"/>
          <w:szCs w:val="32"/>
          <w:shd w:val="clear" w:fill="FFFFFF"/>
        </w:rPr>
        <w:t>主动公开政府信息情况、</w:t>
      </w:r>
      <w:r>
        <w:rPr>
          <w:rFonts w:hint="eastAsia" w:ascii="仿宋_GB2312" w:hAnsi="微软雅黑" w:eastAsia="仿宋_GB2312" w:cs="仿宋_GB2312"/>
          <w:color w:val="333333"/>
          <w:spacing w:val="0"/>
          <w:sz w:val="32"/>
          <w:szCs w:val="32"/>
          <w:shd w:val="clear" w:fill="FFFFFF"/>
          <w:lang w:eastAsia="zh-CN"/>
        </w:rPr>
        <w:t>行政机关</w:t>
      </w:r>
      <w:r>
        <w:rPr>
          <w:rFonts w:hint="default" w:ascii="仿宋_GB2312" w:hAnsi="微软雅黑" w:eastAsia="仿宋_GB2312" w:cs="仿宋_GB2312"/>
          <w:color w:val="333333"/>
          <w:spacing w:val="0"/>
          <w:sz w:val="32"/>
          <w:szCs w:val="32"/>
          <w:shd w:val="clear" w:fill="FFFFFF"/>
        </w:rPr>
        <w:t>收到和处理政府信息公开申请情况、</w:t>
      </w:r>
      <w:r>
        <w:rPr>
          <w:rFonts w:hint="eastAsia" w:ascii="仿宋_GB2312" w:hAnsi="微软雅黑" w:eastAsia="仿宋_GB2312" w:cs="仿宋_GB2312"/>
          <w:color w:val="333333"/>
          <w:spacing w:val="0"/>
          <w:sz w:val="32"/>
          <w:szCs w:val="32"/>
          <w:shd w:val="clear" w:fill="FFFFFF"/>
          <w:lang w:eastAsia="zh-CN"/>
        </w:rPr>
        <w:t>因</w:t>
      </w:r>
      <w:r>
        <w:rPr>
          <w:rFonts w:hint="default" w:ascii="仿宋_GB2312" w:hAnsi="微软雅黑" w:eastAsia="仿宋_GB2312" w:cs="仿宋_GB2312"/>
          <w:color w:val="333333"/>
          <w:spacing w:val="0"/>
          <w:sz w:val="32"/>
          <w:szCs w:val="32"/>
          <w:shd w:val="clear" w:fill="FFFFFF"/>
        </w:rPr>
        <w:t>政府信息公开</w:t>
      </w:r>
      <w:r>
        <w:rPr>
          <w:rFonts w:hint="eastAsia" w:ascii="仿宋_GB2312" w:hAnsi="微软雅黑" w:eastAsia="仿宋_GB2312" w:cs="仿宋_GB2312"/>
          <w:color w:val="333333"/>
          <w:spacing w:val="0"/>
          <w:sz w:val="32"/>
          <w:szCs w:val="32"/>
          <w:shd w:val="clear" w:fill="FFFFFF"/>
          <w:lang w:eastAsia="zh-CN"/>
        </w:rPr>
        <w:t>工作被申请</w:t>
      </w:r>
      <w:r>
        <w:rPr>
          <w:rFonts w:hint="default" w:ascii="仿宋_GB2312" w:hAnsi="微软雅黑" w:eastAsia="仿宋_GB2312" w:cs="仿宋_GB2312"/>
          <w:color w:val="333333"/>
          <w:spacing w:val="0"/>
          <w:sz w:val="32"/>
          <w:szCs w:val="32"/>
          <w:shd w:val="clear" w:fill="FFFFFF"/>
        </w:rPr>
        <w:t>行政复议</w:t>
      </w:r>
      <w:r>
        <w:rPr>
          <w:rFonts w:hint="eastAsia" w:ascii="仿宋_GB2312" w:hAnsi="微软雅黑" w:eastAsia="仿宋_GB2312" w:cs="仿宋_GB2312"/>
          <w:color w:val="333333"/>
          <w:spacing w:val="0"/>
          <w:sz w:val="32"/>
          <w:szCs w:val="32"/>
          <w:shd w:val="clear" w:fill="FFFFFF"/>
          <w:lang w:eastAsia="zh-CN"/>
        </w:rPr>
        <w:t>和提起</w:t>
      </w:r>
      <w:r>
        <w:rPr>
          <w:rFonts w:hint="default" w:ascii="仿宋_GB2312" w:hAnsi="微软雅黑" w:eastAsia="仿宋_GB2312" w:cs="仿宋_GB2312"/>
          <w:color w:val="333333"/>
          <w:spacing w:val="0"/>
          <w:sz w:val="32"/>
          <w:szCs w:val="32"/>
          <w:shd w:val="clear" w:fill="FFFFFF"/>
        </w:rPr>
        <w:t>行政诉讼情况、政府信息公开工作存在的主要问题及改进情况和其他需要报告的事项等六个部分组成。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color w:val="3D3D3D"/>
          <w:kern w:val="0"/>
          <w:sz w:val="32"/>
          <w:szCs w:val="32"/>
          <w:lang w:val="en-US" w:eastAsia="zh-CN" w:bidi="ar"/>
        </w:rPr>
      </w:pPr>
      <w:r>
        <w:rPr>
          <w:rFonts w:ascii="黑体" w:hAnsi="宋体" w:eastAsia="黑体" w:cs="黑体"/>
          <w:color w:val="333333"/>
          <w:spacing w:val="0"/>
          <w:kern w:val="0"/>
          <w:sz w:val="32"/>
          <w:szCs w:val="32"/>
          <w:shd w:val="clear" w:fill="FFFFFF"/>
          <w:lang w:val="en-US" w:eastAsia="zh-CN" w:bidi="ar"/>
        </w:rPr>
        <w:t>一、总体情况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微软雅黑" w:eastAsia="仿宋_GB2312" w:cs="仿宋_GB2312"/>
          <w:color w:val="333333"/>
          <w:spacing w:val="0"/>
          <w:sz w:val="32"/>
          <w:szCs w:val="32"/>
          <w:shd w:val="clear" w:fill="FFFFFF"/>
        </w:rPr>
      </w:pPr>
      <w:r>
        <w:rPr>
          <w:rFonts w:hint="default" w:ascii="仿宋_GB2312" w:hAnsi="微软雅黑" w:eastAsia="仿宋_GB2312" w:cs="仿宋_GB2312"/>
          <w:color w:val="333333"/>
          <w:spacing w:val="0"/>
          <w:sz w:val="32"/>
          <w:szCs w:val="32"/>
          <w:shd w:val="clear" w:fill="FFFFFF"/>
        </w:rPr>
        <w:t>2022年，</w:t>
      </w:r>
      <w:r>
        <w:rPr>
          <w:rFonts w:hint="eastAsia" w:ascii="仿宋_GB2312" w:hAnsi="微软雅黑" w:eastAsia="仿宋_GB2312" w:cs="仿宋_GB2312"/>
          <w:color w:val="333333"/>
          <w:spacing w:val="0"/>
          <w:sz w:val="32"/>
          <w:szCs w:val="32"/>
          <w:shd w:val="clear" w:fill="FFFFFF"/>
          <w:lang w:eastAsia="zh-CN"/>
        </w:rPr>
        <w:t>王村</w:t>
      </w:r>
      <w:r>
        <w:rPr>
          <w:rFonts w:hint="default" w:ascii="仿宋_GB2312" w:hAnsi="微软雅黑" w:eastAsia="仿宋_GB2312" w:cs="仿宋_GB2312"/>
          <w:color w:val="333333"/>
          <w:spacing w:val="0"/>
          <w:sz w:val="32"/>
          <w:szCs w:val="32"/>
          <w:shd w:val="clear" w:fill="FFFFFF"/>
        </w:rPr>
        <w:t>镇深入贯彻落实中央、省、市、</w:t>
      </w:r>
      <w:r>
        <w:rPr>
          <w:rFonts w:hint="eastAsia" w:ascii="仿宋_GB2312" w:hAnsi="微软雅黑" w:eastAsia="仿宋_GB2312" w:cs="仿宋_GB2312"/>
          <w:color w:val="333333"/>
          <w:spacing w:val="0"/>
          <w:sz w:val="32"/>
          <w:szCs w:val="32"/>
          <w:shd w:val="clear" w:fill="FFFFFF"/>
          <w:lang w:eastAsia="zh-CN"/>
        </w:rPr>
        <w:t>区</w:t>
      </w:r>
      <w:r>
        <w:rPr>
          <w:rFonts w:hint="default" w:ascii="仿宋_GB2312" w:hAnsi="微软雅黑" w:eastAsia="仿宋_GB2312" w:cs="仿宋_GB2312"/>
          <w:color w:val="333333"/>
          <w:spacing w:val="0"/>
          <w:sz w:val="32"/>
          <w:szCs w:val="32"/>
          <w:shd w:val="clear" w:fill="FFFFFF"/>
        </w:rPr>
        <w:t>政务公开相关要求，根据国务院办公厅《关于印发2022年政务公开工作要点的通知》等文件要求，结合工作实际，突出工作重点，进一步完善工作机制、拓展公开内容、丰富公开形式，深入推进政府信息公开工作，不断提高工作透明度和政务服务能力</w:t>
      </w:r>
      <w:r>
        <w:rPr>
          <w:rFonts w:hint="eastAsia" w:ascii="仿宋_GB2312" w:hAnsi="微软雅黑" w:eastAsia="仿宋_GB2312" w:cs="仿宋_GB2312"/>
          <w:color w:val="333333"/>
          <w:spacing w:val="0"/>
          <w:sz w:val="32"/>
          <w:szCs w:val="32"/>
          <w:shd w:val="clear" w:fill="FFFFFF"/>
          <w:lang w:eastAsia="zh-CN"/>
        </w:rPr>
        <w:t>，</w:t>
      </w:r>
      <w:r>
        <w:rPr>
          <w:rFonts w:hint="default" w:ascii="仿宋_GB2312" w:hAnsi="微软雅黑" w:eastAsia="仿宋_GB2312" w:cs="仿宋_GB2312"/>
          <w:color w:val="333333"/>
          <w:spacing w:val="0"/>
          <w:sz w:val="32"/>
          <w:szCs w:val="32"/>
          <w:shd w:val="clear" w:fill="FFFFFF"/>
        </w:rPr>
        <w:t>切实推进政务公开工作有序开展</w:t>
      </w:r>
      <w:r>
        <w:rPr>
          <w:rFonts w:hint="eastAsia" w:ascii="仿宋_GB2312" w:hAnsi="微软雅黑" w:eastAsia="仿宋_GB2312" w:cs="仿宋_GB2312"/>
          <w:color w:val="333333"/>
          <w:spacing w:val="0"/>
          <w:sz w:val="32"/>
          <w:szCs w:val="32"/>
          <w:shd w:val="clear" w:fill="FFFFFF"/>
          <w:lang w:eastAsia="zh-CN"/>
        </w:rPr>
        <w:t>，</w:t>
      </w:r>
      <w:r>
        <w:rPr>
          <w:rFonts w:hint="default" w:ascii="仿宋_GB2312" w:hAnsi="微软雅黑" w:eastAsia="仿宋_GB2312" w:cs="仿宋_GB2312"/>
          <w:color w:val="333333"/>
          <w:spacing w:val="0"/>
          <w:sz w:val="32"/>
          <w:szCs w:val="32"/>
          <w:shd w:val="clear" w:fill="FFFFFF"/>
        </w:rPr>
        <w:t>现将有关情况汇报如下：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微软雅黑" w:eastAsia="仿宋_GB2312" w:cs="仿宋_GB2312"/>
          <w:color w:val="333333"/>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楷体" w:hAnsi="楷体" w:eastAsia="楷体" w:cs="楷体"/>
          <w:i w:val="0"/>
          <w:iCs w:val="0"/>
          <w:caps w:val="0"/>
          <w:color w:val="333333"/>
          <w:spacing w:val="0"/>
          <w:sz w:val="32"/>
          <w:szCs w:val="32"/>
          <w:shd w:val="clear" w:fill="FFFFFF"/>
          <w:lang w:eastAsia="zh-CN"/>
        </w:rPr>
        <w:t>（一）主动公开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微软雅黑" w:eastAsia="仿宋_GB2312" w:cs="仿宋_GB2312"/>
          <w:color w:val="333333"/>
          <w:spacing w:val="0"/>
          <w:sz w:val="32"/>
          <w:szCs w:val="32"/>
          <w:highlight w:val="none"/>
          <w:shd w:val="clear" w:fill="FFFFFF"/>
          <w:lang w:val="en-US" w:eastAsia="zh-CN"/>
        </w:rPr>
      </w:pPr>
      <w:r>
        <w:rPr>
          <w:rFonts w:ascii="仿宋_GB2312" w:hAnsi="宋体" w:eastAsia="仿宋_GB2312" w:cs="仿宋_GB2312"/>
          <w:i w:val="0"/>
          <w:iCs w:val="0"/>
          <w:caps w:val="0"/>
          <w:color w:val="333333"/>
          <w:spacing w:val="0"/>
          <w:sz w:val="32"/>
          <w:szCs w:val="32"/>
          <w:shd w:val="clear" w:fill="FFFFFF"/>
        </w:rPr>
        <w:t>我镇高度重视政务公开标准化规范化工作，为保证工作顺利开展，由镇主要领导牵头，明确分管负责人调度，具办人员落实，确保全面推进基层政务决策公开、执行公开、管理公开、服务公开、结果公开，推动基层政务公开全覆盖，切实保障人民群众的知情权、参与权、表达权、监督权。</w:t>
      </w:r>
      <w:r>
        <w:rPr>
          <w:rFonts w:hint="eastAsia" w:ascii="仿宋_GB2312" w:hAnsi="微软雅黑" w:eastAsia="仿宋_GB2312" w:cs="仿宋_GB2312"/>
          <w:color w:val="333333"/>
          <w:spacing w:val="0"/>
          <w:sz w:val="32"/>
          <w:szCs w:val="32"/>
          <w:highlight w:val="none"/>
          <w:shd w:val="clear" w:fill="FFFFFF"/>
          <w:lang w:val="en-US" w:eastAsia="zh-CN"/>
        </w:rPr>
        <w:t>截至目前今年全镇主动公开政府信息共计13条。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333333"/>
          <w:spacing w:val="0"/>
          <w:sz w:val="32"/>
          <w:szCs w:val="32"/>
          <w:shd w:val="clear" w:fill="FFFFFF"/>
          <w:lang w:val="en-US" w:eastAsia="zh-CN"/>
        </w:rPr>
      </w:pPr>
      <w:r>
        <w:rPr>
          <w:rFonts w:hint="eastAsia" w:ascii="楷体" w:hAnsi="楷体" w:eastAsia="楷体" w:cs="楷体"/>
          <w:color w:val="333333"/>
          <w:spacing w:val="0"/>
          <w:sz w:val="32"/>
          <w:szCs w:val="32"/>
          <w:shd w:val="clear" w:fill="FFFFFF"/>
          <w:lang w:val="en-US" w:eastAsia="zh-CN"/>
        </w:rPr>
        <w:t>（二）依申请公开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645"/>
        <w:rPr>
          <w:rFonts w:hint="eastAsia" w:ascii="微软雅黑" w:hAnsi="微软雅黑" w:eastAsia="微软雅黑" w:cs="微软雅黑"/>
          <w:color w:val="3D3D3D"/>
          <w:sz w:val="32"/>
          <w:szCs w:val="32"/>
        </w:rPr>
      </w:pPr>
      <w:r>
        <w:rPr>
          <w:rFonts w:hint="default" w:ascii="仿宋_GB2312" w:hAnsi="微软雅黑" w:eastAsia="仿宋_GB2312" w:cs="仿宋_GB2312"/>
          <w:color w:val="333333"/>
          <w:spacing w:val="0"/>
          <w:sz w:val="32"/>
          <w:szCs w:val="32"/>
          <w:shd w:val="clear" w:fill="FFFFFF"/>
        </w:rPr>
        <w:t>公民、法人或者其他组织可申请</w:t>
      </w:r>
      <w:r>
        <w:rPr>
          <w:rFonts w:hint="eastAsia" w:ascii="仿宋_GB2312" w:hAnsi="微软雅黑" w:eastAsia="仿宋_GB2312" w:cs="仿宋_GB2312"/>
          <w:color w:val="333333"/>
          <w:spacing w:val="0"/>
          <w:sz w:val="32"/>
          <w:szCs w:val="32"/>
          <w:shd w:val="clear" w:fill="FFFFFF"/>
          <w:lang w:eastAsia="zh-CN"/>
        </w:rPr>
        <w:t>王村镇</w:t>
      </w:r>
      <w:r>
        <w:rPr>
          <w:rFonts w:hint="default" w:ascii="仿宋_GB2312" w:hAnsi="微软雅黑" w:eastAsia="仿宋_GB2312" w:cs="仿宋_GB2312"/>
          <w:color w:val="333333"/>
          <w:spacing w:val="0"/>
          <w:sz w:val="32"/>
          <w:szCs w:val="32"/>
          <w:shd w:val="clear" w:fill="FFFFFF"/>
        </w:rPr>
        <w:t>人民政府或</w:t>
      </w:r>
      <w:r>
        <w:rPr>
          <w:rFonts w:hint="eastAsia" w:ascii="仿宋_GB2312" w:hAnsi="微软雅黑" w:eastAsia="仿宋_GB2312" w:cs="仿宋_GB2312"/>
          <w:color w:val="333333"/>
          <w:spacing w:val="0"/>
          <w:sz w:val="32"/>
          <w:szCs w:val="32"/>
          <w:shd w:val="clear" w:fill="FFFFFF"/>
          <w:lang w:eastAsia="zh-CN"/>
        </w:rPr>
        <w:t>王村镇</w:t>
      </w:r>
      <w:r>
        <w:rPr>
          <w:rFonts w:hint="default" w:ascii="仿宋_GB2312" w:hAnsi="微软雅黑" w:eastAsia="仿宋_GB2312" w:cs="仿宋_GB2312"/>
          <w:color w:val="333333"/>
          <w:spacing w:val="0"/>
          <w:sz w:val="32"/>
          <w:szCs w:val="32"/>
          <w:shd w:val="clear" w:fill="FFFFFF"/>
        </w:rPr>
        <w:t>镇人民政府办公室主动公开以外的政府信息。我镇在公开政府信息前，将依照《中华人民共和国保守国家秘密法》以及其他法律、法规和国家有关规定对拟公开的政府信息进行审查。</w:t>
      </w:r>
      <w:r>
        <w:rPr>
          <w:rFonts w:hint="eastAsia" w:ascii="仿宋_GB2312" w:hAnsi="微软雅黑" w:eastAsia="仿宋_GB2312" w:cs="仿宋_GB2312"/>
          <w:color w:val="333333"/>
          <w:spacing w:val="0"/>
          <w:sz w:val="32"/>
          <w:szCs w:val="32"/>
          <w:highlight w:val="none"/>
          <w:shd w:val="clear" w:fill="FFFFFF"/>
          <w:lang w:val="en-US" w:eastAsia="zh-CN"/>
        </w:rPr>
        <w:t>截至目前今年全镇依申请公开政府信息共计0条。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333333"/>
          <w:spacing w:val="0"/>
          <w:sz w:val="32"/>
          <w:szCs w:val="32"/>
          <w:shd w:val="clear" w:fill="FFFFFF"/>
          <w:lang w:val="en-US" w:eastAsia="zh-CN"/>
        </w:rPr>
      </w:pPr>
      <w:r>
        <w:rPr>
          <w:rFonts w:hint="eastAsia" w:ascii="楷体" w:hAnsi="楷体" w:eastAsia="楷体" w:cs="楷体"/>
          <w:color w:val="333333"/>
          <w:spacing w:val="0"/>
          <w:sz w:val="32"/>
          <w:szCs w:val="32"/>
          <w:shd w:val="clear" w:fill="FFFFFF"/>
          <w:lang w:val="en-US" w:eastAsia="zh-CN"/>
        </w:rPr>
        <w:t>（三）政府信息管理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333333"/>
          <w:spacing w:val="0"/>
          <w:sz w:val="32"/>
          <w:szCs w:val="32"/>
          <w:shd w:val="clear" w:fill="FFFFFF"/>
          <w:lang w:val="en-US" w:eastAsia="zh-CN"/>
        </w:rPr>
      </w:pPr>
      <w:r>
        <w:rPr>
          <w:rFonts w:hint="default" w:ascii="仿宋_GB2312" w:hAnsi="微软雅黑" w:eastAsia="仿宋_GB2312" w:cs="仿宋_GB2312"/>
          <w:color w:val="333333"/>
          <w:spacing w:val="0"/>
          <w:kern w:val="0"/>
          <w:sz w:val="32"/>
          <w:szCs w:val="32"/>
          <w:shd w:val="clear" w:fill="FFFFFF"/>
          <w:lang w:val="en-US" w:eastAsia="zh-CN" w:bidi="ar"/>
        </w:rPr>
        <w:t>为使政务公开工作有领导、有步骤地进行，镇政务公开日常工作由党政办主要负责，明确了具体工作人员，做到了领导、机构、人员</w:t>
      </w:r>
      <w:r>
        <w:rPr>
          <w:rFonts w:hint="eastAsia" w:ascii="仿宋_GB2312" w:hAnsi="微软雅黑" w:eastAsia="仿宋_GB2312" w:cs="仿宋_GB2312"/>
          <w:color w:val="333333"/>
          <w:spacing w:val="0"/>
          <w:kern w:val="0"/>
          <w:sz w:val="32"/>
          <w:szCs w:val="32"/>
          <w:shd w:val="clear" w:fill="FFFFFF"/>
          <w:lang w:val="en-US" w:eastAsia="zh-CN" w:bidi="ar"/>
        </w:rPr>
        <w:t>“三到位”，每月对政府信息公开网站内容更新、互动回应、错别字、错误链接等进行一次检查整改；每季度对政府信息公开网站内容保障情况进行一次开会整改，杜绝政府信息公开网站内容更新不及时、信息发布不准确、交流互动不回应、服务信息</w:t>
      </w:r>
      <w:bookmarkStart w:id="0" w:name="_GoBack"/>
      <w:bookmarkEnd w:id="0"/>
      <w:r>
        <w:rPr>
          <w:rFonts w:hint="eastAsia" w:ascii="仿宋_GB2312" w:hAnsi="微软雅黑" w:eastAsia="仿宋_GB2312" w:cs="仿宋_GB2312"/>
          <w:color w:val="333333"/>
          <w:spacing w:val="0"/>
          <w:kern w:val="0"/>
          <w:sz w:val="32"/>
          <w:szCs w:val="32"/>
          <w:shd w:val="clear" w:fill="FFFFFF"/>
          <w:lang w:val="en-US" w:eastAsia="zh-CN" w:bidi="ar"/>
        </w:rPr>
        <w:t>不实用“四不”问题的出现。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333333"/>
          <w:spacing w:val="0"/>
          <w:sz w:val="32"/>
          <w:szCs w:val="32"/>
          <w:shd w:val="clear" w:fill="FFFFFF"/>
          <w:lang w:val="en-US" w:eastAsia="zh-CN"/>
        </w:rPr>
      </w:pPr>
      <w:r>
        <w:rPr>
          <w:rFonts w:hint="eastAsia" w:ascii="楷体" w:hAnsi="楷体" w:eastAsia="楷体" w:cs="楷体"/>
          <w:color w:val="333333"/>
          <w:spacing w:val="0"/>
          <w:sz w:val="32"/>
          <w:szCs w:val="32"/>
          <w:shd w:val="clear" w:fill="FFFFFF"/>
          <w:lang w:val="en-US" w:eastAsia="zh-CN"/>
        </w:rPr>
        <w:t>（四）政府信息公开平台建设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微软雅黑" w:eastAsia="仿宋_GB2312" w:cs="仿宋_GB2312"/>
          <w:color w:val="333333"/>
          <w:spacing w:val="0"/>
          <w:kern w:val="0"/>
          <w:sz w:val="32"/>
          <w:szCs w:val="32"/>
          <w:shd w:val="clear" w:fill="FFFFFF"/>
          <w:lang w:val="en-US" w:eastAsia="zh-CN" w:bidi="ar"/>
        </w:rPr>
      </w:pPr>
      <w:r>
        <w:rPr>
          <w:rFonts w:hint="eastAsia" w:ascii="仿宋_GB2312" w:hAnsi="微软雅黑" w:eastAsia="仿宋_GB2312" w:cs="仿宋_GB2312"/>
          <w:color w:val="333333"/>
          <w:spacing w:val="0"/>
          <w:kern w:val="0"/>
          <w:sz w:val="32"/>
          <w:szCs w:val="32"/>
          <w:shd w:val="clear" w:fill="FFFFFF"/>
          <w:lang w:val="en-US" w:eastAsia="zh-CN" w:bidi="ar"/>
        </w:rPr>
        <w:t>对政务公开网站实行常态化管理，明确专人负责发布与维护各个领域相关信息，对无发布内容的栏目及时发布情况说明，确保网站内容发布准确、权威、及时、便民。同时，充分利用“王村”微信公众号，积极推送政府信息，回应群众关切，扩大信息公开覆盖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 w:hAnsi="楷体" w:eastAsia="楷体" w:cs="楷体"/>
          <w:i w:val="0"/>
          <w:iCs w:val="0"/>
          <w:caps w:val="0"/>
          <w:color w:val="212529"/>
          <w:spacing w:val="0"/>
          <w:sz w:val="32"/>
          <w:szCs w:val="32"/>
          <w:shd w:val="clear" w:fill="FFFFFF"/>
        </w:rPr>
      </w:pPr>
      <w:r>
        <w:rPr>
          <w:rFonts w:hint="eastAsia" w:ascii="楷体" w:hAnsi="楷体" w:eastAsia="楷体" w:cs="楷体"/>
          <w:color w:val="333333"/>
          <w:spacing w:val="0"/>
          <w:sz w:val="32"/>
          <w:szCs w:val="32"/>
          <w:shd w:val="clear" w:fill="FFFFFF"/>
          <w:lang w:val="en-US" w:eastAsia="zh-CN"/>
        </w:rPr>
        <w:t>（五）监督保障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微软雅黑" w:eastAsia="仿宋_GB2312" w:cs="仿宋_GB2312"/>
          <w:color w:val="333333"/>
          <w:spacing w:val="0"/>
          <w:kern w:val="0"/>
          <w:sz w:val="32"/>
          <w:szCs w:val="32"/>
          <w:shd w:val="clear" w:fill="FFFFFF"/>
          <w:lang w:val="en-US" w:eastAsia="zh-CN" w:bidi="ar"/>
        </w:rPr>
      </w:pPr>
      <w:r>
        <w:rPr>
          <w:rFonts w:hint="eastAsia" w:ascii="仿宋_GB2312" w:hAnsi="微软雅黑" w:eastAsia="仿宋_GB2312" w:cs="仿宋_GB2312"/>
          <w:color w:val="333333"/>
          <w:spacing w:val="0"/>
          <w:kern w:val="0"/>
          <w:sz w:val="32"/>
          <w:szCs w:val="32"/>
          <w:shd w:val="clear" w:fill="FFFFFF"/>
          <w:lang w:val="en-US" w:eastAsia="zh-CN" w:bidi="ar"/>
        </w:rPr>
        <w:t>今年以来，我镇持续加大对信息公开的数量、类别、内容、群众反馈等方面的自查力度，及时发现问题、解决问题，不断提高政府信息公开工作的实效性。严格贯彻落实《条例》规定的</w:t>
      </w:r>
      <w:r>
        <w:rPr>
          <w:rFonts w:hint="default" w:ascii="仿宋_GB2312" w:hAnsi="微软雅黑" w:eastAsia="仿宋_GB2312" w:cs="仿宋_GB2312"/>
          <w:color w:val="333333"/>
          <w:spacing w:val="0"/>
          <w:kern w:val="0"/>
          <w:sz w:val="32"/>
          <w:szCs w:val="32"/>
          <w:shd w:val="clear" w:fill="FFFFFF"/>
          <w:lang w:val="en-US" w:eastAsia="zh-CN" w:bidi="ar"/>
        </w:rPr>
        <w:t>“工作考核、社会评议、责任追究”等要求，把政务公开纳入绩效考核体系，建立健全政府信息公开工作考核制度、社会评议制度和责任追究制度，定期对政府信息公开工作进行考核、评议，确保政府信息公开申请登记、审核、办理、答复、归档等各项工作按时按质完成</w:t>
      </w:r>
      <w:r>
        <w:rPr>
          <w:rFonts w:hint="eastAsia" w:ascii="仿宋_GB2312" w:hAnsi="微软雅黑" w:eastAsia="仿宋_GB2312" w:cs="仿宋_GB2312"/>
          <w:color w:val="333333"/>
          <w:spacing w:val="0"/>
          <w:kern w:val="0"/>
          <w:sz w:val="32"/>
          <w:szCs w:val="32"/>
          <w:shd w:val="clear" w:fill="FFFFFF"/>
          <w:lang w:val="en-US" w:eastAsia="zh-CN" w:bidi="ar"/>
        </w:rPr>
        <w:t>。同时持续加强对信息公开工作人员的监督指导，进一步压实责任。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r>
        <w:rPr>
          <w:rFonts w:hint="eastAsia" w:ascii="黑体" w:hAnsi="黑体" w:eastAsia="黑体" w:cs="黑体"/>
          <w:color w:val="333333"/>
          <w:spacing w:val="0"/>
          <w:sz w:val="32"/>
          <w:szCs w:val="32"/>
          <w:shd w:val="clear" w:fill="FFFFFF"/>
          <w:lang w:eastAsia="zh-CN"/>
        </w:rPr>
        <w:t>二、行政机关</w:t>
      </w:r>
      <w:r>
        <w:rPr>
          <w:rFonts w:hint="eastAsia" w:ascii="黑体" w:hAnsi="黑体" w:eastAsia="黑体" w:cs="黑体"/>
          <w:color w:val="333333"/>
          <w:spacing w:val="0"/>
          <w:sz w:val="32"/>
          <w:szCs w:val="32"/>
          <w:shd w:val="clear" w:fill="FFFFFF"/>
        </w:rPr>
        <w:t>主动公开政府信息情况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212529"/>
          <w:spacing w:val="0"/>
          <w:sz w:val="32"/>
          <w:szCs w:val="32"/>
          <w:shd w:val="clear" w:fill="FFFFFF"/>
        </w:rPr>
      </w:pPr>
    </w:p>
    <w:tbl>
      <w:tblPr>
        <w:tblStyle w:val="4"/>
        <w:tblpPr w:leftFromText="180" w:rightFromText="180" w:vertAnchor="page" w:horzAnchor="page" w:tblpX="1647" w:tblpY="2155"/>
        <w:tblOverlap w:val="never"/>
        <w:tblW w:w="88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0"/>
        <w:gridCol w:w="2210"/>
        <w:gridCol w:w="2210"/>
        <w:gridCol w:w="22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 w:hRule="atLeast"/>
        </w:trPr>
        <w:tc>
          <w:tcPr>
            <w:tcW w:w="8840" w:type="dxa"/>
            <w:gridSpan w:val="4"/>
            <w:shd w:val="clear" w:color="auto" w:fill="C5D9F0"/>
            <w:noWrap w:val="0"/>
            <w:vAlign w:val="top"/>
          </w:tcPr>
          <w:p>
            <w:pPr>
              <w:pStyle w:val="6"/>
              <w:spacing w:before="148"/>
              <w:ind w:left="3445" w:right="3429"/>
              <w:jc w:val="center"/>
              <w:rPr>
                <w:rFonts w:hint="eastAsia" w:ascii="黑体" w:eastAsia="黑体"/>
                <w:sz w:val="21"/>
              </w:rPr>
            </w:pPr>
            <w:r>
              <w:rPr>
                <w:rFonts w:hint="eastAsia" w:ascii="黑体" w:eastAsia="黑体"/>
                <w:sz w:val="21"/>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7" w:hRule="atLeast"/>
        </w:trPr>
        <w:tc>
          <w:tcPr>
            <w:tcW w:w="2210" w:type="dxa"/>
            <w:noWrap w:val="0"/>
            <w:vAlign w:val="top"/>
          </w:tcPr>
          <w:p>
            <w:pPr>
              <w:pStyle w:val="6"/>
              <w:spacing w:before="149"/>
              <w:ind w:right="664"/>
              <w:jc w:val="right"/>
              <w:rPr>
                <w:sz w:val="21"/>
              </w:rPr>
            </w:pPr>
            <w:r>
              <w:rPr>
                <w:w w:val="95"/>
                <w:sz w:val="21"/>
              </w:rPr>
              <w:t>信息内容</w:t>
            </w:r>
          </w:p>
        </w:tc>
        <w:tc>
          <w:tcPr>
            <w:tcW w:w="2210" w:type="dxa"/>
            <w:noWrap w:val="0"/>
            <w:vAlign w:val="top"/>
          </w:tcPr>
          <w:p>
            <w:pPr>
              <w:pStyle w:val="6"/>
              <w:spacing w:before="149"/>
              <w:ind w:left="472"/>
              <w:rPr>
                <w:sz w:val="21"/>
              </w:rPr>
            </w:pPr>
            <w:r>
              <w:rPr>
                <w:sz w:val="21"/>
              </w:rPr>
              <w:t>本年制发件数</w:t>
            </w:r>
          </w:p>
        </w:tc>
        <w:tc>
          <w:tcPr>
            <w:tcW w:w="2210" w:type="dxa"/>
            <w:noWrap w:val="0"/>
            <w:vAlign w:val="top"/>
          </w:tcPr>
          <w:p>
            <w:pPr>
              <w:pStyle w:val="6"/>
              <w:spacing w:before="149"/>
              <w:ind w:left="472"/>
              <w:rPr>
                <w:sz w:val="21"/>
              </w:rPr>
            </w:pPr>
            <w:r>
              <w:rPr>
                <w:sz w:val="21"/>
              </w:rPr>
              <w:t>本年废止件数</w:t>
            </w:r>
          </w:p>
        </w:tc>
        <w:tc>
          <w:tcPr>
            <w:tcW w:w="2210" w:type="dxa"/>
            <w:noWrap w:val="0"/>
            <w:vAlign w:val="top"/>
          </w:tcPr>
          <w:p>
            <w:pPr>
              <w:pStyle w:val="6"/>
              <w:spacing w:before="149"/>
              <w:ind w:left="471"/>
              <w:rPr>
                <w:sz w:val="21"/>
              </w:rPr>
            </w:pPr>
            <w:r>
              <w:rPr>
                <w:sz w:val="21"/>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2210" w:type="dxa"/>
            <w:noWrap w:val="0"/>
            <w:vAlign w:val="top"/>
          </w:tcPr>
          <w:p>
            <w:pPr>
              <w:pStyle w:val="6"/>
              <w:spacing w:before="147"/>
              <w:ind w:left="108"/>
              <w:rPr>
                <w:sz w:val="21"/>
              </w:rPr>
            </w:pPr>
            <w:r>
              <w:rPr>
                <w:sz w:val="21"/>
              </w:rPr>
              <w:t>规章</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7" w:hRule="atLeast"/>
        </w:trPr>
        <w:tc>
          <w:tcPr>
            <w:tcW w:w="2210" w:type="dxa"/>
            <w:noWrap w:val="0"/>
            <w:vAlign w:val="top"/>
          </w:tcPr>
          <w:p>
            <w:pPr>
              <w:pStyle w:val="6"/>
              <w:spacing w:before="149"/>
              <w:ind w:left="108"/>
              <w:rPr>
                <w:sz w:val="21"/>
              </w:rPr>
            </w:pPr>
            <w:r>
              <w:rPr>
                <w:sz w:val="21"/>
              </w:rPr>
              <w:t>行政规范性文件</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2210" w:type="dxa"/>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8840" w:type="dxa"/>
            <w:gridSpan w:val="4"/>
            <w:shd w:val="clear" w:color="auto" w:fill="C5D9F0"/>
            <w:noWrap w:val="0"/>
            <w:vAlign w:val="top"/>
          </w:tcPr>
          <w:p>
            <w:pPr>
              <w:pStyle w:val="6"/>
              <w:spacing w:before="147"/>
              <w:ind w:left="3445" w:right="3429"/>
              <w:jc w:val="center"/>
              <w:rPr>
                <w:rFonts w:hint="eastAsia" w:ascii="黑体" w:eastAsia="黑体"/>
                <w:sz w:val="21"/>
              </w:rPr>
            </w:pPr>
            <w:r>
              <w:rPr>
                <w:rFonts w:hint="eastAsia" w:ascii="黑体" w:eastAsia="黑体"/>
                <w:sz w:val="21"/>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2210" w:type="dxa"/>
            <w:noWrap w:val="0"/>
            <w:vAlign w:val="top"/>
          </w:tcPr>
          <w:p>
            <w:pPr>
              <w:pStyle w:val="6"/>
              <w:spacing w:before="148"/>
              <w:ind w:right="664"/>
              <w:jc w:val="right"/>
              <w:rPr>
                <w:sz w:val="21"/>
              </w:rPr>
            </w:pPr>
            <w:r>
              <w:rPr>
                <w:w w:val="95"/>
                <w:sz w:val="21"/>
              </w:rPr>
              <w:t>信息内容</w:t>
            </w:r>
          </w:p>
        </w:tc>
        <w:tc>
          <w:tcPr>
            <w:tcW w:w="6630" w:type="dxa"/>
            <w:gridSpan w:val="3"/>
            <w:noWrap w:val="0"/>
            <w:vAlign w:val="top"/>
          </w:tcPr>
          <w:p>
            <w:pPr>
              <w:pStyle w:val="6"/>
              <w:spacing w:before="148"/>
              <w:ind w:left="2448" w:right="2430"/>
              <w:jc w:val="center"/>
              <w:rPr>
                <w:sz w:val="21"/>
              </w:rPr>
            </w:pPr>
            <w:r>
              <w:rPr>
                <w:sz w:val="21"/>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2210" w:type="dxa"/>
            <w:noWrap w:val="0"/>
            <w:vAlign w:val="top"/>
          </w:tcPr>
          <w:p>
            <w:pPr>
              <w:pStyle w:val="6"/>
              <w:spacing w:before="149"/>
              <w:ind w:left="108"/>
              <w:rPr>
                <w:sz w:val="21"/>
              </w:rPr>
            </w:pPr>
            <w:r>
              <w:rPr>
                <w:sz w:val="21"/>
              </w:rPr>
              <w:t>行政许可</w:t>
            </w:r>
          </w:p>
        </w:tc>
        <w:tc>
          <w:tcPr>
            <w:tcW w:w="6630" w:type="dxa"/>
            <w:gridSpan w:val="3"/>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 w:hRule="atLeast"/>
        </w:trPr>
        <w:tc>
          <w:tcPr>
            <w:tcW w:w="8840" w:type="dxa"/>
            <w:gridSpan w:val="4"/>
            <w:shd w:val="clear" w:color="auto" w:fill="C5D9F0"/>
            <w:noWrap w:val="0"/>
            <w:vAlign w:val="top"/>
          </w:tcPr>
          <w:p>
            <w:pPr>
              <w:pStyle w:val="6"/>
              <w:spacing w:before="148"/>
              <w:ind w:left="3445" w:right="3429"/>
              <w:jc w:val="center"/>
              <w:rPr>
                <w:rFonts w:hint="eastAsia" w:ascii="黑体" w:eastAsia="黑体"/>
                <w:sz w:val="21"/>
              </w:rPr>
            </w:pPr>
            <w:r>
              <w:rPr>
                <w:rFonts w:hint="eastAsia" w:ascii="黑体" w:eastAsia="黑体"/>
                <w:sz w:val="21"/>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2210" w:type="dxa"/>
            <w:noWrap w:val="0"/>
            <w:vAlign w:val="top"/>
          </w:tcPr>
          <w:p>
            <w:pPr>
              <w:pStyle w:val="6"/>
              <w:spacing w:before="149"/>
              <w:ind w:right="664"/>
              <w:jc w:val="right"/>
              <w:rPr>
                <w:sz w:val="21"/>
              </w:rPr>
            </w:pPr>
            <w:r>
              <w:rPr>
                <w:w w:val="95"/>
                <w:sz w:val="21"/>
              </w:rPr>
              <w:t>信息内容</w:t>
            </w:r>
          </w:p>
        </w:tc>
        <w:tc>
          <w:tcPr>
            <w:tcW w:w="6630" w:type="dxa"/>
            <w:gridSpan w:val="3"/>
            <w:noWrap w:val="0"/>
            <w:vAlign w:val="top"/>
          </w:tcPr>
          <w:p>
            <w:pPr>
              <w:pStyle w:val="6"/>
              <w:spacing w:before="149"/>
              <w:ind w:left="2448" w:right="2430"/>
              <w:jc w:val="center"/>
              <w:rPr>
                <w:sz w:val="21"/>
              </w:rPr>
            </w:pPr>
            <w:r>
              <w:rPr>
                <w:sz w:val="21"/>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2210" w:type="dxa"/>
            <w:noWrap w:val="0"/>
            <w:vAlign w:val="top"/>
          </w:tcPr>
          <w:p>
            <w:pPr>
              <w:pStyle w:val="6"/>
              <w:spacing w:before="147"/>
              <w:ind w:left="108"/>
              <w:rPr>
                <w:sz w:val="21"/>
              </w:rPr>
            </w:pPr>
            <w:r>
              <w:rPr>
                <w:sz w:val="21"/>
              </w:rPr>
              <w:t>行政处罚</w:t>
            </w:r>
          </w:p>
        </w:tc>
        <w:tc>
          <w:tcPr>
            <w:tcW w:w="6630" w:type="dxa"/>
            <w:gridSpan w:val="3"/>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 w:hRule="atLeast"/>
        </w:trPr>
        <w:tc>
          <w:tcPr>
            <w:tcW w:w="2210" w:type="dxa"/>
            <w:noWrap w:val="0"/>
            <w:vAlign w:val="top"/>
          </w:tcPr>
          <w:p>
            <w:pPr>
              <w:pStyle w:val="6"/>
              <w:spacing w:before="148"/>
              <w:ind w:left="108"/>
              <w:rPr>
                <w:sz w:val="21"/>
              </w:rPr>
            </w:pPr>
            <w:r>
              <w:rPr>
                <w:sz w:val="21"/>
              </w:rPr>
              <w:t>行政强制</w:t>
            </w:r>
          </w:p>
        </w:tc>
        <w:tc>
          <w:tcPr>
            <w:tcW w:w="6630" w:type="dxa"/>
            <w:gridSpan w:val="3"/>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8840" w:type="dxa"/>
            <w:gridSpan w:val="4"/>
            <w:shd w:val="clear" w:color="auto" w:fill="C5D9F0"/>
            <w:noWrap w:val="0"/>
            <w:vAlign w:val="top"/>
          </w:tcPr>
          <w:p>
            <w:pPr>
              <w:pStyle w:val="6"/>
              <w:spacing w:before="147"/>
              <w:ind w:left="3445" w:right="3429"/>
              <w:jc w:val="center"/>
              <w:rPr>
                <w:rFonts w:hint="eastAsia" w:ascii="黑体" w:eastAsia="黑体"/>
                <w:sz w:val="21"/>
              </w:rPr>
            </w:pPr>
            <w:r>
              <w:rPr>
                <w:rFonts w:hint="eastAsia" w:ascii="黑体" w:eastAsia="黑体"/>
                <w:sz w:val="21"/>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 w:hRule="atLeast"/>
        </w:trPr>
        <w:tc>
          <w:tcPr>
            <w:tcW w:w="2210" w:type="dxa"/>
            <w:noWrap w:val="0"/>
            <w:vAlign w:val="top"/>
          </w:tcPr>
          <w:p>
            <w:pPr>
              <w:pStyle w:val="6"/>
              <w:spacing w:before="148"/>
              <w:ind w:right="664"/>
              <w:jc w:val="right"/>
              <w:rPr>
                <w:sz w:val="21"/>
              </w:rPr>
            </w:pPr>
            <w:r>
              <w:rPr>
                <w:w w:val="95"/>
                <w:sz w:val="21"/>
              </w:rPr>
              <w:t>信息内容</w:t>
            </w:r>
          </w:p>
        </w:tc>
        <w:tc>
          <w:tcPr>
            <w:tcW w:w="6630" w:type="dxa"/>
            <w:gridSpan w:val="3"/>
            <w:noWrap w:val="0"/>
            <w:vAlign w:val="top"/>
          </w:tcPr>
          <w:p>
            <w:pPr>
              <w:pStyle w:val="6"/>
              <w:spacing w:before="148"/>
              <w:ind w:left="1943"/>
              <w:rPr>
                <w:sz w:val="21"/>
              </w:rPr>
            </w:pPr>
            <w:r>
              <w:rPr>
                <w:sz w:val="21"/>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2210" w:type="dxa"/>
            <w:noWrap w:val="0"/>
            <w:vAlign w:val="top"/>
          </w:tcPr>
          <w:p>
            <w:pPr>
              <w:pStyle w:val="6"/>
              <w:spacing w:before="149"/>
              <w:ind w:left="108"/>
              <w:rPr>
                <w:sz w:val="21"/>
              </w:rPr>
            </w:pPr>
            <w:r>
              <w:rPr>
                <w:sz w:val="21"/>
              </w:rPr>
              <w:t>行政事业性收费</w:t>
            </w:r>
          </w:p>
        </w:tc>
        <w:tc>
          <w:tcPr>
            <w:tcW w:w="6630" w:type="dxa"/>
            <w:gridSpan w:val="3"/>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ind w:left="79" w:leftChars="0" w:firstLine="640" w:firstLineChars="200"/>
        <w:jc w:val="left"/>
        <w:textAlignment w:val="auto"/>
        <w:rPr>
          <w:rFonts w:hint="eastAsia" w:ascii="黑体" w:hAnsi="黑体" w:eastAsia="黑体" w:cs="黑体"/>
          <w:color w:val="333333"/>
          <w:spacing w:val="0"/>
          <w:sz w:val="32"/>
          <w:szCs w:val="32"/>
          <w:shd w:val="clear" w:fill="FFFFFF"/>
          <w:lang w:val="en-US" w:eastAsia="zh-CN"/>
        </w:rPr>
      </w:pPr>
      <w:r>
        <w:rPr>
          <w:rFonts w:hint="eastAsia" w:ascii="黑体" w:hAnsi="黑体" w:eastAsia="黑体" w:cs="黑体"/>
          <w:color w:val="333333"/>
          <w:spacing w:val="0"/>
          <w:sz w:val="32"/>
          <w:szCs w:val="32"/>
          <w:shd w:val="clear" w:fill="FFFFFF"/>
          <w:lang w:eastAsia="zh-CN"/>
        </w:rPr>
        <w:t>三、行政机关</w:t>
      </w:r>
      <w:r>
        <w:rPr>
          <w:rFonts w:hint="eastAsia" w:ascii="黑体" w:hAnsi="黑体" w:eastAsia="黑体" w:cs="黑体"/>
          <w:color w:val="333333"/>
          <w:spacing w:val="0"/>
          <w:sz w:val="32"/>
          <w:szCs w:val="32"/>
          <w:shd w:val="clear" w:fill="FFFFFF"/>
        </w:rPr>
        <w:t>收到和处理政府信息公开申请情况</w:t>
      </w:r>
    </w:p>
    <w:tbl>
      <w:tblPr>
        <w:tblStyle w:val="4"/>
        <w:tblW w:w="103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0" w:type="dxa"/>
          <w:bottom w:w="0" w:type="dxa"/>
          <w:right w:w="0" w:type="dxa"/>
        </w:tblCellMar>
      </w:tblPr>
      <w:tblGrid>
        <w:gridCol w:w="434"/>
        <w:gridCol w:w="1783"/>
        <w:gridCol w:w="3126"/>
        <w:gridCol w:w="867"/>
        <w:gridCol w:w="591"/>
        <w:gridCol w:w="591"/>
        <w:gridCol w:w="765"/>
        <w:gridCol w:w="740"/>
        <w:gridCol w:w="604"/>
        <w:gridCol w:w="8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310" w:hRule="atLeast"/>
          <w:jc w:val="center"/>
        </w:trPr>
        <w:tc>
          <w:tcPr>
            <w:tcW w:w="5343" w:type="dxa"/>
            <w:gridSpan w:val="3"/>
            <w:vMerge w:val="restart"/>
            <w:tcBorders>
              <w:tl2br w:val="nil"/>
              <w:tr2bl w:val="nil"/>
            </w:tcBorders>
            <w:noWrap w:val="0"/>
            <w:vAlign w:val="top"/>
          </w:tcPr>
          <w:p>
            <w:pPr>
              <w:pStyle w:val="6"/>
              <w:spacing w:before="15"/>
              <w:rPr>
                <w:rFonts w:ascii="方正小标宋简体"/>
                <w:sz w:val="25"/>
              </w:rPr>
            </w:pPr>
          </w:p>
          <w:p>
            <w:pPr>
              <w:pStyle w:val="6"/>
              <w:spacing w:line="278" w:lineRule="auto"/>
              <w:ind w:left="1286" w:right="222" w:hanging="1052"/>
              <w:rPr>
                <w:rFonts w:hint="eastAsia" w:ascii="宋体" w:eastAsia="宋体"/>
                <w:sz w:val="21"/>
              </w:rPr>
            </w:pPr>
            <w:r>
              <w:rPr>
                <w:rFonts w:hint="eastAsia" w:ascii="宋体" w:eastAsia="宋体"/>
                <w:w w:val="95"/>
                <w:sz w:val="21"/>
              </w:rPr>
              <w:t xml:space="preserve">（本列数据的勾稽关系为：第一项加第二项之和， </w:t>
            </w:r>
            <w:r>
              <w:rPr>
                <w:rFonts w:hint="eastAsia" w:ascii="宋体" w:eastAsia="宋体"/>
                <w:sz w:val="21"/>
              </w:rPr>
              <w:t>等</w:t>
            </w:r>
            <w:r>
              <w:rPr>
                <w:rFonts w:hint="eastAsia" w:ascii="宋体" w:eastAsia="宋体"/>
                <w:w w:val="95"/>
                <w:sz w:val="21"/>
              </w:rPr>
              <w:t>于第三项加第四项之和）</w:t>
            </w:r>
          </w:p>
        </w:tc>
        <w:tc>
          <w:tcPr>
            <w:tcW w:w="5056" w:type="dxa"/>
            <w:gridSpan w:val="7"/>
            <w:tcBorders>
              <w:tl2br w:val="nil"/>
              <w:tr2bl w:val="nil"/>
            </w:tcBorders>
            <w:noWrap w:val="0"/>
            <w:vAlign w:val="top"/>
          </w:tcPr>
          <w:p>
            <w:pPr>
              <w:pStyle w:val="6"/>
              <w:spacing w:before="93"/>
              <w:ind w:left="1868" w:right="1847"/>
              <w:jc w:val="center"/>
              <w:rPr>
                <w:rFonts w:hint="eastAsia" w:ascii="黑体" w:eastAsia="黑体"/>
                <w:sz w:val="21"/>
              </w:rPr>
            </w:pPr>
            <w:r>
              <w:rPr>
                <w:rFonts w:hint="eastAsia" w:ascii="黑体" w:eastAsia="黑体"/>
                <w:sz w:val="21"/>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0" w:type="dxa"/>
            <w:bottom w:w="0" w:type="dxa"/>
            <w:right w:w="0" w:type="dxa"/>
          </w:tblCellMar>
        </w:tblPrEx>
        <w:trPr>
          <w:trHeight w:val="306" w:hRule="atLeast"/>
          <w:jc w:val="center"/>
        </w:trPr>
        <w:tc>
          <w:tcPr>
            <w:tcW w:w="5343" w:type="dxa"/>
            <w:gridSpan w:val="3"/>
            <w:vMerge w:val="continue"/>
            <w:tcBorders>
              <w:tl2br w:val="nil"/>
              <w:tr2bl w:val="nil"/>
            </w:tcBorders>
            <w:noWrap w:val="0"/>
            <w:vAlign w:val="top"/>
          </w:tcPr>
          <w:p>
            <w:pPr>
              <w:rPr>
                <w:sz w:val="2"/>
                <w:szCs w:val="2"/>
              </w:rPr>
            </w:pPr>
          </w:p>
        </w:tc>
        <w:tc>
          <w:tcPr>
            <w:tcW w:w="867" w:type="dxa"/>
            <w:vMerge w:val="restart"/>
            <w:tcBorders>
              <w:tl2br w:val="nil"/>
              <w:tr2bl w:val="nil"/>
            </w:tcBorders>
            <w:noWrap w:val="0"/>
            <w:vAlign w:val="top"/>
          </w:tcPr>
          <w:p>
            <w:pPr>
              <w:pStyle w:val="6"/>
              <w:spacing w:before="15"/>
              <w:rPr>
                <w:rFonts w:ascii="方正小标宋简体"/>
                <w:sz w:val="13"/>
              </w:rPr>
            </w:pPr>
          </w:p>
          <w:p>
            <w:pPr>
              <w:pStyle w:val="6"/>
              <w:spacing w:line="278" w:lineRule="auto"/>
              <w:ind w:left="314" w:right="190" w:hanging="106"/>
              <w:rPr>
                <w:rFonts w:hint="eastAsia" w:ascii="黑体" w:eastAsia="黑体"/>
                <w:sz w:val="21"/>
              </w:rPr>
            </w:pPr>
            <w:r>
              <w:rPr>
                <w:rFonts w:hint="eastAsia" w:ascii="黑体" w:eastAsia="黑体"/>
                <w:sz w:val="21"/>
              </w:rPr>
              <w:t>自然人</w:t>
            </w:r>
          </w:p>
        </w:tc>
        <w:tc>
          <w:tcPr>
            <w:tcW w:w="3291" w:type="dxa"/>
            <w:gridSpan w:val="5"/>
            <w:tcBorders>
              <w:tl2br w:val="nil"/>
              <w:tr2bl w:val="nil"/>
            </w:tcBorders>
            <w:noWrap w:val="0"/>
            <w:vAlign w:val="top"/>
          </w:tcPr>
          <w:p>
            <w:pPr>
              <w:pStyle w:val="6"/>
              <w:spacing w:before="97"/>
              <w:ind w:left="839"/>
              <w:rPr>
                <w:rFonts w:hint="eastAsia" w:ascii="黑体" w:eastAsia="黑体"/>
                <w:sz w:val="21"/>
              </w:rPr>
            </w:pPr>
            <w:r>
              <w:rPr>
                <w:rFonts w:hint="eastAsia" w:ascii="黑体" w:eastAsia="黑体"/>
                <w:sz w:val="21"/>
              </w:rPr>
              <w:t>法人或其他组织</w:t>
            </w:r>
          </w:p>
        </w:tc>
        <w:tc>
          <w:tcPr>
            <w:tcW w:w="898" w:type="dxa"/>
            <w:vMerge w:val="restart"/>
            <w:tcBorders>
              <w:tl2br w:val="nil"/>
              <w:tr2bl w:val="nil"/>
            </w:tcBorders>
            <w:noWrap w:val="0"/>
            <w:vAlign w:val="top"/>
          </w:tcPr>
          <w:p>
            <w:pPr>
              <w:pStyle w:val="6"/>
              <w:spacing w:before="12"/>
              <w:rPr>
                <w:rFonts w:ascii="方正小标宋简体"/>
                <w:sz w:val="22"/>
              </w:rPr>
            </w:pPr>
          </w:p>
          <w:p>
            <w:pPr>
              <w:pStyle w:val="6"/>
              <w:ind w:left="219"/>
              <w:rPr>
                <w:rFonts w:hint="eastAsia" w:ascii="黑体" w:eastAsia="黑体"/>
                <w:sz w:val="21"/>
              </w:rPr>
            </w:pPr>
            <w:r>
              <w:rPr>
                <w:rFonts w:hint="eastAsia" w:ascii="黑体" w:eastAsia="黑体"/>
                <w:sz w:val="21"/>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0" w:type="dxa"/>
            <w:bottom w:w="0" w:type="dxa"/>
            <w:right w:w="0" w:type="dxa"/>
          </w:tblCellMar>
        </w:tblPrEx>
        <w:trPr>
          <w:trHeight w:val="90" w:hRule="atLeast"/>
          <w:jc w:val="center"/>
        </w:trPr>
        <w:tc>
          <w:tcPr>
            <w:tcW w:w="5343" w:type="dxa"/>
            <w:gridSpan w:val="3"/>
            <w:vMerge w:val="continue"/>
            <w:tcBorders>
              <w:tl2br w:val="nil"/>
              <w:tr2bl w:val="nil"/>
            </w:tcBorders>
            <w:noWrap w:val="0"/>
            <w:vAlign w:val="top"/>
          </w:tcPr>
          <w:p>
            <w:pPr>
              <w:rPr>
                <w:sz w:val="2"/>
                <w:szCs w:val="2"/>
              </w:rPr>
            </w:pPr>
          </w:p>
        </w:tc>
        <w:tc>
          <w:tcPr>
            <w:tcW w:w="867" w:type="dxa"/>
            <w:vMerge w:val="continue"/>
            <w:tcBorders>
              <w:tl2br w:val="nil"/>
              <w:tr2bl w:val="nil"/>
            </w:tcBorders>
            <w:noWrap w:val="0"/>
            <w:vAlign w:val="top"/>
          </w:tcPr>
          <w:p>
            <w:pPr>
              <w:rPr>
                <w:sz w:val="2"/>
                <w:szCs w:val="2"/>
              </w:rPr>
            </w:pPr>
          </w:p>
        </w:tc>
        <w:tc>
          <w:tcPr>
            <w:tcW w:w="591" w:type="dxa"/>
            <w:tcBorders>
              <w:tl2br w:val="nil"/>
              <w:tr2bl w:val="nil"/>
            </w:tcBorders>
            <w:noWrap w:val="0"/>
            <w:vAlign w:val="top"/>
          </w:tcPr>
          <w:p>
            <w:pPr>
              <w:pStyle w:val="6"/>
              <w:spacing w:line="320" w:lineRule="exact"/>
              <w:ind w:left="78" w:right="58"/>
              <w:rPr>
                <w:rFonts w:hint="eastAsia" w:ascii="黑体" w:eastAsia="黑体"/>
                <w:sz w:val="21"/>
              </w:rPr>
            </w:pPr>
            <w:r>
              <w:rPr>
                <w:rFonts w:hint="eastAsia" w:ascii="黑体" w:eastAsia="黑体"/>
                <w:sz w:val="21"/>
              </w:rPr>
              <w:t>商业企业</w:t>
            </w:r>
          </w:p>
        </w:tc>
        <w:tc>
          <w:tcPr>
            <w:tcW w:w="591" w:type="dxa"/>
            <w:tcBorders>
              <w:tl2br w:val="nil"/>
              <w:tr2bl w:val="nil"/>
            </w:tcBorders>
            <w:noWrap w:val="0"/>
            <w:vAlign w:val="top"/>
          </w:tcPr>
          <w:p>
            <w:pPr>
              <w:pStyle w:val="6"/>
              <w:spacing w:line="320" w:lineRule="exact"/>
              <w:ind w:left="77" w:right="59"/>
              <w:rPr>
                <w:rFonts w:hint="eastAsia" w:ascii="黑体" w:eastAsia="黑体"/>
                <w:sz w:val="21"/>
              </w:rPr>
            </w:pPr>
            <w:r>
              <w:rPr>
                <w:rFonts w:hint="eastAsia" w:ascii="黑体" w:eastAsia="黑体"/>
                <w:sz w:val="21"/>
              </w:rPr>
              <w:t>科研机构</w:t>
            </w:r>
          </w:p>
        </w:tc>
        <w:tc>
          <w:tcPr>
            <w:tcW w:w="765" w:type="dxa"/>
            <w:tcBorders>
              <w:tl2br w:val="nil"/>
              <w:tr2bl w:val="nil"/>
            </w:tcBorders>
            <w:noWrap w:val="0"/>
            <w:vAlign w:val="top"/>
          </w:tcPr>
          <w:p>
            <w:pPr>
              <w:pStyle w:val="6"/>
              <w:spacing w:line="320" w:lineRule="exact"/>
              <w:ind w:left="55" w:right="34"/>
              <w:rPr>
                <w:rFonts w:hint="eastAsia" w:ascii="黑体" w:eastAsia="黑体"/>
                <w:sz w:val="21"/>
              </w:rPr>
            </w:pPr>
            <w:r>
              <w:rPr>
                <w:rFonts w:hint="eastAsia" w:ascii="黑体" w:eastAsia="黑体"/>
                <w:sz w:val="21"/>
              </w:rPr>
              <w:t>社会公益组织</w:t>
            </w:r>
          </w:p>
        </w:tc>
        <w:tc>
          <w:tcPr>
            <w:tcW w:w="740" w:type="dxa"/>
            <w:tcBorders>
              <w:tl2br w:val="nil"/>
              <w:tr2bl w:val="nil"/>
            </w:tcBorders>
            <w:noWrap w:val="0"/>
            <w:vAlign w:val="top"/>
          </w:tcPr>
          <w:p>
            <w:pPr>
              <w:pStyle w:val="6"/>
              <w:spacing w:line="320" w:lineRule="exact"/>
              <w:ind w:left="44" w:right="22"/>
              <w:rPr>
                <w:rFonts w:hint="eastAsia" w:ascii="黑体" w:eastAsia="黑体"/>
                <w:sz w:val="21"/>
              </w:rPr>
            </w:pPr>
            <w:r>
              <w:rPr>
                <w:rFonts w:hint="eastAsia" w:ascii="黑体" w:eastAsia="黑体"/>
                <w:sz w:val="21"/>
              </w:rPr>
              <w:t>法律服务机构</w:t>
            </w:r>
          </w:p>
        </w:tc>
        <w:tc>
          <w:tcPr>
            <w:tcW w:w="604" w:type="dxa"/>
            <w:tcBorders>
              <w:tl2br w:val="nil"/>
              <w:tr2bl w:val="nil"/>
            </w:tcBorders>
            <w:noWrap w:val="0"/>
            <w:vAlign w:val="top"/>
          </w:tcPr>
          <w:p>
            <w:pPr>
              <w:pStyle w:val="6"/>
              <w:spacing w:before="6"/>
              <w:rPr>
                <w:rFonts w:ascii="方正小标宋简体"/>
                <w:sz w:val="12"/>
              </w:rPr>
            </w:pPr>
          </w:p>
          <w:p>
            <w:pPr>
              <w:pStyle w:val="6"/>
              <w:ind w:left="114"/>
              <w:rPr>
                <w:rFonts w:hint="eastAsia" w:ascii="黑体" w:eastAsia="黑体"/>
                <w:sz w:val="21"/>
              </w:rPr>
            </w:pPr>
            <w:r>
              <w:rPr>
                <w:rFonts w:hint="eastAsia" w:ascii="黑体" w:eastAsia="黑体"/>
                <w:sz w:val="21"/>
              </w:rPr>
              <w:t>其他</w:t>
            </w:r>
          </w:p>
        </w:tc>
        <w:tc>
          <w:tcPr>
            <w:tcW w:w="898" w:type="dxa"/>
            <w:vMerge w:val="continue"/>
            <w:tcBorders>
              <w:tl2br w:val="nil"/>
              <w:tr2bl w:val="nil"/>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316" w:hRule="atLeast"/>
          <w:jc w:val="center"/>
        </w:trPr>
        <w:tc>
          <w:tcPr>
            <w:tcW w:w="5343" w:type="dxa"/>
            <w:gridSpan w:val="3"/>
            <w:tcBorders>
              <w:tl2br w:val="nil"/>
              <w:tr2bl w:val="nil"/>
            </w:tcBorders>
            <w:noWrap w:val="0"/>
            <w:vAlign w:val="top"/>
          </w:tcPr>
          <w:p>
            <w:pPr>
              <w:pStyle w:val="6"/>
              <w:spacing w:before="111"/>
              <w:ind w:left="108"/>
              <w:rPr>
                <w:rFonts w:hint="eastAsia" w:ascii="黑体" w:eastAsia="黑体"/>
                <w:sz w:val="21"/>
              </w:rPr>
            </w:pPr>
            <w:r>
              <w:rPr>
                <w:rFonts w:hint="eastAsia" w:ascii="黑体" w:eastAsia="黑体"/>
                <w:sz w:val="21"/>
              </w:rPr>
              <w:t>一、本年新收政府信息公开申请数量</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316" w:hRule="atLeast"/>
          <w:jc w:val="center"/>
        </w:trPr>
        <w:tc>
          <w:tcPr>
            <w:tcW w:w="5343" w:type="dxa"/>
            <w:gridSpan w:val="3"/>
            <w:tcBorders>
              <w:tl2br w:val="nil"/>
              <w:tr2bl w:val="nil"/>
            </w:tcBorders>
            <w:noWrap w:val="0"/>
            <w:vAlign w:val="top"/>
          </w:tcPr>
          <w:p>
            <w:pPr>
              <w:pStyle w:val="6"/>
              <w:spacing w:before="111"/>
              <w:ind w:left="108"/>
              <w:rPr>
                <w:rFonts w:hint="eastAsia" w:ascii="黑体" w:eastAsia="黑体"/>
                <w:sz w:val="21"/>
              </w:rPr>
            </w:pPr>
            <w:r>
              <w:rPr>
                <w:rFonts w:hint="eastAsia" w:ascii="黑体" w:eastAsia="黑体"/>
                <w:sz w:val="21"/>
              </w:rPr>
              <w:t>二、上年结转政府信息公开申请数量</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315" w:hRule="atLeast"/>
          <w:jc w:val="center"/>
        </w:trPr>
        <w:tc>
          <w:tcPr>
            <w:tcW w:w="434" w:type="dxa"/>
            <w:vMerge w:val="restart"/>
            <w:tcBorders>
              <w:tl2br w:val="nil"/>
              <w:tr2bl w:val="nil"/>
            </w:tcBorders>
            <w:noWrap w:val="0"/>
            <w:vAlign w:val="top"/>
          </w:tcPr>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spacing w:before="15"/>
              <w:rPr>
                <w:rFonts w:ascii="方正小标宋简体"/>
                <w:sz w:val="13"/>
              </w:rPr>
            </w:pPr>
          </w:p>
          <w:p>
            <w:pPr>
              <w:pStyle w:val="6"/>
              <w:ind w:left="108"/>
              <w:rPr>
                <w:rFonts w:hint="eastAsia" w:ascii="黑体" w:eastAsia="黑体"/>
                <w:sz w:val="21"/>
              </w:rPr>
            </w:pPr>
            <w:r>
              <w:rPr>
                <w:rFonts w:hint="eastAsia" w:ascii="黑体" w:eastAsia="黑体"/>
                <w:w w:val="99"/>
                <w:sz w:val="21"/>
              </w:rPr>
              <w:t>三</w:t>
            </w:r>
          </w:p>
          <w:p>
            <w:pPr>
              <w:pStyle w:val="6"/>
              <w:spacing w:before="43" w:line="278" w:lineRule="auto"/>
              <w:ind w:left="108" w:right="81"/>
              <w:jc w:val="both"/>
              <w:rPr>
                <w:rFonts w:hint="eastAsia" w:ascii="黑体" w:eastAsia="黑体"/>
                <w:sz w:val="21"/>
              </w:rPr>
            </w:pPr>
            <w:r>
              <w:rPr>
                <w:rFonts w:hint="eastAsia" w:ascii="黑体" w:eastAsia="黑体"/>
                <w:sz w:val="21"/>
              </w:rPr>
              <w:t>、本年度办理结果</w:t>
            </w:r>
          </w:p>
        </w:tc>
        <w:tc>
          <w:tcPr>
            <w:tcW w:w="4909" w:type="dxa"/>
            <w:gridSpan w:val="2"/>
            <w:tcBorders>
              <w:tl2br w:val="nil"/>
              <w:tr2bl w:val="nil"/>
            </w:tcBorders>
            <w:noWrap w:val="0"/>
            <w:vAlign w:val="top"/>
          </w:tcPr>
          <w:p>
            <w:pPr>
              <w:pStyle w:val="6"/>
              <w:spacing w:before="110"/>
              <w:ind w:left="112"/>
              <w:rPr>
                <w:rFonts w:hint="eastAsia" w:ascii="黑体" w:eastAsia="黑体"/>
                <w:sz w:val="21"/>
              </w:rPr>
            </w:pPr>
            <w:r>
              <w:rPr>
                <w:rFonts w:hint="eastAsia" w:ascii="黑体" w:eastAsia="黑体"/>
                <w:sz w:val="21"/>
              </w:rPr>
              <w:t>（一）予以公开</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479" w:hRule="atLeast"/>
          <w:jc w:val="center"/>
        </w:trPr>
        <w:tc>
          <w:tcPr>
            <w:tcW w:w="434" w:type="dxa"/>
            <w:vMerge w:val="continue"/>
            <w:tcBorders>
              <w:tl2br w:val="nil"/>
              <w:tr2bl w:val="nil"/>
            </w:tcBorders>
            <w:noWrap w:val="0"/>
            <w:vAlign w:val="top"/>
          </w:tcPr>
          <w:p>
            <w:pPr>
              <w:rPr>
                <w:sz w:val="2"/>
                <w:szCs w:val="2"/>
              </w:rPr>
            </w:pPr>
          </w:p>
        </w:tc>
        <w:tc>
          <w:tcPr>
            <w:tcW w:w="4909" w:type="dxa"/>
            <w:gridSpan w:val="2"/>
            <w:tcBorders>
              <w:tl2br w:val="nil"/>
              <w:tr2bl w:val="nil"/>
            </w:tcBorders>
            <w:noWrap w:val="0"/>
            <w:vAlign w:val="top"/>
          </w:tcPr>
          <w:p>
            <w:pPr>
              <w:pStyle w:val="6"/>
              <w:spacing w:before="16"/>
              <w:ind w:left="112"/>
              <w:rPr>
                <w:rFonts w:hint="eastAsia" w:ascii="黑体" w:eastAsia="黑体"/>
                <w:sz w:val="21"/>
              </w:rPr>
            </w:pPr>
            <w:r>
              <w:rPr>
                <w:rFonts w:hint="eastAsia" w:ascii="黑体" w:eastAsia="黑体"/>
                <w:sz w:val="21"/>
              </w:rPr>
              <w:t>（二）部分公开（区分处理的，只计这一情形，</w:t>
            </w:r>
          </w:p>
          <w:p>
            <w:pPr>
              <w:pStyle w:val="6"/>
              <w:spacing w:before="43" w:line="266" w:lineRule="exact"/>
              <w:ind w:left="112"/>
              <w:rPr>
                <w:rFonts w:hint="eastAsia" w:ascii="黑体" w:eastAsia="黑体"/>
                <w:sz w:val="21"/>
              </w:rPr>
            </w:pPr>
            <w:r>
              <w:rPr>
                <w:rFonts w:hint="eastAsia" w:ascii="黑体" w:eastAsia="黑体"/>
                <w:sz w:val="21"/>
              </w:rPr>
              <w:t>不计其他情形）</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restart"/>
            <w:tcBorders>
              <w:tl2br w:val="nil"/>
              <w:tr2bl w:val="nil"/>
            </w:tcBorders>
            <w:noWrap w:val="0"/>
            <w:vAlign w:val="top"/>
          </w:tcPr>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rPr>
                <w:rFonts w:ascii="方正小标宋简体"/>
                <w:sz w:val="20"/>
              </w:rPr>
            </w:pPr>
          </w:p>
          <w:p>
            <w:pPr>
              <w:pStyle w:val="6"/>
              <w:spacing w:before="9"/>
              <w:rPr>
                <w:rFonts w:ascii="方正小标宋简体"/>
                <w:sz w:val="13"/>
              </w:rPr>
            </w:pPr>
          </w:p>
          <w:p>
            <w:pPr>
              <w:pStyle w:val="6"/>
              <w:ind w:left="4"/>
              <w:rPr>
                <w:rFonts w:hint="eastAsia" w:ascii="黑体" w:eastAsia="黑体"/>
                <w:sz w:val="21"/>
              </w:rPr>
            </w:pPr>
            <w:r>
              <w:rPr>
                <w:rFonts w:hint="eastAsia" w:ascii="黑体" w:eastAsia="黑体"/>
                <w:sz w:val="21"/>
              </w:rPr>
              <w:t>（三）不予公开</w:t>
            </w:r>
          </w:p>
        </w:tc>
        <w:tc>
          <w:tcPr>
            <w:tcW w:w="3126" w:type="dxa"/>
            <w:tcBorders>
              <w:tl2br w:val="nil"/>
              <w:tr2bl w:val="nil"/>
            </w:tcBorders>
            <w:noWrap w:val="0"/>
            <w:vAlign w:val="top"/>
          </w:tcPr>
          <w:p>
            <w:pPr>
              <w:pStyle w:val="6"/>
              <w:spacing w:before="66"/>
              <w:ind w:left="113"/>
              <w:rPr>
                <w:sz w:val="21"/>
              </w:rPr>
            </w:pPr>
            <w:r>
              <w:rPr>
                <w:sz w:val="21"/>
              </w:rPr>
              <w:t>1.属于国家秘密</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2"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8"/>
              <w:ind w:left="113"/>
              <w:rPr>
                <w:sz w:val="21"/>
              </w:rPr>
            </w:pPr>
            <w:r>
              <w:rPr>
                <w:sz w:val="21"/>
              </w:rPr>
              <w:t>2.其他法律行政法规禁止公开</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2"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8"/>
              <w:ind w:left="113"/>
              <w:rPr>
                <w:sz w:val="21"/>
              </w:rPr>
            </w:pPr>
            <w:r>
              <w:rPr>
                <w:sz w:val="21"/>
              </w:rPr>
              <w:t>3.危及“三安全一稳定”</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7"/>
              <w:ind w:left="113"/>
              <w:rPr>
                <w:sz w:val="21"/>
              </w:rPr>
            </w:pPr>
            <w:r>
              <w:rPr>
                <w:sz w:val="21"/>
              </w:rPr>
              <w:t>4.保护第三方合法权益</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7"/>
              <w:ind w:left="113"/>
              <w:rPr>
                <w:sz w:val="21"/>
              </w:rPr>
            </w:pPr>
            <w:r>
              <w:rPr>
                <w:sz w:val="21"/>
              </w:rPr>
              <w:t>5.属于三类内部事务信息</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6"/>
              <w:ind w:left="113"/>
              <w:rPr>
                <w:sz w:val="21"/>
              </w:rPr>
            </w:pPr>
            <w:r>
              <w:rPr>
                <w:sz w:val="21"/>
              </w:rPr>
              <w:t>6.属于四类过程性信息</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6"/>
              <w:ind w:left="113"/>
              <w:rPr>
                <w:sz w:val="21"/>
              </w:rPr>
            </w:pPr>
            <w:r>
              <w:rPr>
                <w:sz w:val="21"/>
              </w:rPr>
              <w:t>7.属于行政执法案卷</w:t>
            </w:r>
          </w:p>
        </w:tc>
        <w:tc>
          <w:tcPr>
            <w:tcW w:w="867" w:type="dxa"/>
            <w:tcBorders>
              <w:tl2br w:val="nil"/>
              <w:tr2bl w:val="nil"/>
            </w:tcBorders>
            <w:noWrap w:val="0"/>
            <w:vAlign w:val="center"/>
          </w:tcPr>
          <w:p>
            <w:pPr>
              <w:pStyle w:val="6"/>
              <w:jc w:val="center"/>
              <w:rPr>
                <w:rFonts w:hint="default"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2"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8"/>
              <w:ind w:left="113"/>
              <w:rPr>
                <w:sz w:val="21"/>
              </w:rPr>
            </w:pPr>
            <w:r>
              <w:rPr>
                <w:sz w:val="21"/>
              </w:rPr>
              <w:t>8.属于行政查询事项</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89" w:hRule="atLeast"/>
          <w:jc w:val="center"/>
        </w:trPr>
        <w:tc>
          <w:tcPr>
            <w:tcW w:w="434" w:type="dxa"/>
            <w:vMerge w:val="continue"/>
            <w:tcBorders>
              <w:tl2br w:val="nil"/>
              <w:tr2bl w:val="nil"/>
            </w:tcBorders>
            <w:noWrap w:val="0"/>
            <w:vAlign w:val="top"/>
          </w:tcPr>
          <w:p>
            <w:pPr>
              <w:rPr>
                <w:sz w:val="2"/>
                <w:szCs w:val="2"/>
              </w:rPr>
            </w:pPr>
          </w:p>
        </w:tc>
        <w:tc>
          <w:tcPr>
            <w:tcW w:w="1783" w:type="dxa"/>
            <w:vMerge w:val="restart"/>
            <w:tcBorders>
              <w:tl2br w:val="nil"/>
              <w:tr2bl w:val="nil"/>
            </w:tcBorders>
            <w:noWrap w:val="0"/>
            <w:vAlign w:val="center"/>
          </w:tcPr>
          <w:p>
            <w:pPr>
              <w:pStyle w:val="6"/>
              <w:ind w:left="4"/>
              <w:rPr>
                <w:rFonts w:hint="eastAsia" w:ascii="黑体" w:eastAsia="黑体"/>
                <w:sz w:val="21"/>
              </w:rPr>
            </w:pPr>
            <w:r>
              <w:rPr>
                <w:rFonts w:hint="eastAsia" w:ascii="黑体" w:eastAsia="黑体"/>
                <w:sz w:val="21"/>
              </w:rPr>
              <w:t>（四）无法提供</w:t>
            </w:r>
          </w:p>
        </w:tc>
        <w:tc>
          <w:tcPr>
            <w:tcW w:w="3126" w:type="dxa"/>
            <w:tcBorders>
              <w:tl2br w:val="nil"/>
              <w:tr2bl w:val="nil"/>
            </w:tcBorders>
            <w:noWrap w:val="0"/>
            <w:vAlign w:val="top"/>
          </w:tcPr>
          <w:p>
            <w:pPr>
              <w:pStyle w:val="6"/>
              <w:spacing w:before="67"/>
              <w:ind w:left="113"/>
              <w:rPr>
                <w:sz w:val="21"/>
              </w:rPr>
            </w:pPr>
            <w:r>
              <w:rPr>
                <w:sz w:val="21"/>
              </w:rPr>
              <w:t>1.本机关不掌握相关政府信息</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7"/>
              <w:ind w:left="113"/>
              <w:rPr>
                <w:sz w:val="21"/>
              </w:rPr>
            </w:pPr>
            <w:r>
              <w:rPr>
                <w:sz w:val="21"/>
              </w:rPr>
              <w:t>2.没有现成信息需要另行制作</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7"/>
              <w:ind w:left="113"/>
              <w:rPr>
                <w:sz w:val="21"/>
              </w:rPr>
            </w:pPr>
            <w:r>
              <w:rPr>
                <w:sz w:val="21"/>
              </w:rPr>
              <w:t>3.补正后申请内容仍不明确</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restart"/>
            <w:tcBorders>
              <w:tl2br w:val="nil"/>
              <w:tr2bl w:val="nil"/>
            </w:tcBorders>
            <w:noWrap w:val="0"/>
            <w:vAlign w:val="top"/>
          </w:tcPr>
          <w:p>
            <w:pPr>
              <w:pStyle w:val="6"/>
              <w:rPr>
                <w:rFonts w:ascii="方正小标宋简体"/>
                <w:sz w:val="20"/>
              </w:rPr>
            </w:pPr>
          </w:p>
          <w:p>
            <w:pPr>
              <w:pStyle w:val="6"/>
              <w:rPr>
                <w:rFonts w:ascii="方正小标宋简体"/>
                <w:sz w:val="20"/>
              </w:rPr>
            </w:pPr>
          </w:p>
          <w:p>
            <w:pPr>
              <w:pStyle w:val="6"/>
              <w:spacing w:before="15"/>
              <w:rPr>
                <w:rFonts w:ascii="方正小标宋简体"/>
                <w:sz w:val="17"/>
              </w:rPr>
            </w:pPr>
          </w:p>
          <w:p>
            <w:pPr>
              <w:pStyle w:val="6"/>
              <w:ind w:left="4"/>
              <w:rPr>
                <w:rFonts w:hint="eastAsia" w:ascii="黑体" w:eastAsia="黑体"/>
                <w:sz w:val="21"/>
              </w:rPr>
            </w:pPr>
            <w:r>
              <w:rPr>
                <w:rFonts w:hint="eastAsia" w:ascii="黑体" w:eastAsia="黑体"/>
                <w:sz w:val="21"/>
              </w:rPr>
              <w:t>（五）不予处理</w:t>
            </w:r>
          </w:p>
        </w:tc>
        <w:tc>
          <w:tcPr>
            <w:tcW w:w="3126" w:type="dxa"/>
            <w:tcBorders>
              <w:tl2br w:val="nil"/>
              <w:tr2bl w:val="nil"/>
            </w:tcBorders>
            <w:noWrap w:val="0"/>
            <w:vAlign w:val="top"/>
          </w:tcPr>
          <w:p>
            <w:pPr>
              <w:pStyle w:val="6"/>
              <w:spacing w:before="66"/>
              <w:ind w:left="113"/>
              <w:rPr>
                <w:sz w:val="21"/>
              </w:rPr>
            </w:pPr>
            <w:r>
              <w:rPr>
                <w:sz w:val="21"/>
              </w:rPr>
              <w:t>1.信访举报投诉类申请</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6"/>
              <w:ind w:left="113"/>
              <w:rPr>
                <w:sz w:val="21"/>
              </w:rPr>
            </w:pPr>
            <w:r>
              <w:rPr>
                <w:sz w:val="21"/>
              </w:rPr>
              <w:t>2.重复申请</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92"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68"/>
              <w:ind w:left="113"/>
              <w:rPr>
                <w:sz w:val="21"/>
              </w:rPr>
            </w:pPr>
            <w:r>
              <w:rPr>
                <w:sz w:val="21"/>
              </w:rPr>
              <w:t>3.要求提供公开出版物</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71"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39"/>
              <w:ind w:left="113"/>
              <w:rPr>
                <w:sz w:val="21"/>
              </w:rPr>
            </w:pPr>
            <w:r>
              <w:rPr>
                <w:sz w:val="21"/>
              </w:rPr>
              <w:t>4.无正当理由大量反复申请</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489" w:hRule="atLeast"/>
          <w:jc w:val="center"/>
        </w:trPr>
        <w:tc>
          <w:tcPr>
            <w:tcW w:w="434" w:type="dxa"/>
            <w:vMerge w:val="continue"/>
            <w:tcBorders>
              <w:tl2br w:val="nil"/>
              <w:tr2bl w:val="nil"/>
            </w:tcBorders>
            <w:noWrap w:val="0"/>
            <w:vAlign w:val="top"/>
          </w:tcPr>
          <w:p>
            <w:pPr>
              <w:rPr>
                <w:sz w:val="2"/>
                <w:szCs w:val="2"/>
              </w:rPr>
            </w:pPr>
          </w:p>
        </w:tc>
        <w:tc>
          <w:tcPr>
            <w:tcW w:w="1783" w:type="dxa"/>
            <w:vMerge w:val="continue"/>
            <w:tcBorders>
              <w:tl2br w:val="nil"/>
              <w:tr2bl w:val="nil"/>
            </w:tcBorders>
            <w:noWrap w:val="0"/>
            <w:vAlign w:val="top"/>
          </w:tcPr>
          <w:p>
            <w:pPr>
              <w:rPr>
                <w:sz w:val="2"/>
                <w:szCs w:val="2"/>
              </w:rPr>
            </w:pPr>
          </w:p>
        </w:tc>
        <w:tc>
          <w:tcPr>
            <w:tcW w:w="3126" w:type="dxa"/>
            <w:tcBorders>
              <w:tl2br w:val="nil"/>
              <w:tr2bl w:val="nil"/>
            </w:tcBorders>
            <w:noWrap w:val="0"/>
            <w:vAlign w:val="top"/>
          </w:tcPr>
          <w:p>
            <w:pPr>
              <w:pStyle w:val="6"/>
              <w:spacing w:before="26"/>
              <w:ind w:left="113"/>
              <w:rPr>
                <w:sz w:val="21"/>
              </w:rPr>
            </w:pPr>
            <w:r>
              <w:rPr>
                <w:sz w:val="21"/>
              </w:rPr>
              <w:t>5.要求行政机关确认或重新出具已获取信息</w:t>
            </w:r>
          </w:p>
        </w:tc>
        <w:tc>
          <w:tcPr>
            <w:tcW w:w="867"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714" w:hRule="atLeast"/>
          <w:jc w:val="center"/>
        </w:trPr>
        <w:tc>
          <w:tcPr>
            <w:tcW w:w="434" w:type="dxa"/>
            <w:vMerge w:val="continue"/>
            <w:tcBorders>
              <w:tl2br w:val="nil"/>
              <w:tr2bl w:val="nil"/>
            </w:tcBorders>
            <w:noWrap w:val="0"/>
            <w:vAlign w:val="top"/>
          </w:tcPr>
          <w:p>
            <w:pPr>
              <w:rPr>
                <w:sz w:val="2"/>
                <w:szCs w:val="2"/>
              </w:rPr>
            </w:pPr>
          </w:p>
        </w:tc>
        <w:tc>
          <w:tcPr>
            <w:tcW w:w="1783" w:type="dxa"/>
            <w:vMerge w:val="restart"/>
            <w:tcBorders>
              <w:tl2br w:val="nil"/>
              <w:tr2bl w:val="nil"/>
            </w:tcBorders>
            <w:noWrap w:val="0"/>
            <w:vAlign w:val="center"/>
          </w:tcPr>
          <w:p>
            <w:pPr>
              <w:pStyle w:val="6"/>
              <w:spacing w:before="174"/>
              <w:rPr>
                <w:rFonts w:hint="eastAsia" w:ascii="黑体" w:eastAsia="黑体"/>
                <w:sz w:val="21"/>
              </w:rPr>
            </w:pPr>
            <w:r>
              <w:rPr>
                <w:rFonts w:hint="eastAsia" w:ascii="黑体" w:eastAsia="黑体"/>
                <w:sz w:val="21"/>
              </w:rPr>
              <w:t>（六）其他处理</w:t>
            </w:r>
          </w:p>
        </w:tc>
        <w:tc>
          <w:tcPr>
            <w:tcW w:w="3126" w:type="dxa"/>
            <w:tcBorders>
              <w:tl2br w:val="nil"/>
              <w:tr2bl w:val="nil"/>
            </w:tcBorders>
            <w:noWrap w:val="0"/>
            <w:vAlign w:val="top"/>
          </w:tcPr>
          <w:p>
            <w:pPr>
              <w:pStyle w:val="6"/>
              <w:spacing w:before="25"/>
              <w:ind w:left="9" w:right="-15"/>
              <w:rPr>
                <w:rFonts w:hint="eastAsia" w:eastAsia="仿宋_GB2312"/>
                <w:sz w:val="21"/>
                <w:lang w:eastAsia="zh-CN"/>
              </w:rPr>
            </w:pPr>
            <w:r>
              <w:rPr>
                <w:w w:val="95"/>
                <w:sz w:val="21"/>
              </w:rPr>
              <w:t>1</w:t>
            </w:r>
            <w:r>
              <w:rPr>
                <w:spacing w:val="17"/>
                <w:w w:val="95"/>
                <w:sz w:val="21"/>
              </w:rPr>
              <w:t>. 申请人无正当理由逾期不补</w:t>
            </w:r>
            <w:r>
              <w:rPr>
                <w:sz w:val="21"/>
              </w:rPr>
              <w:t>正、行政机关不再处理其政府</w:t>
            </w:r>
            <w:r>
              <w:rPr>
                <w:rFonts w:hint="eastAsia"/>
                <w:sz w:val="21"/>
                <w:lang w:eastAsia="zh-CN"/>
              </w:rPr>
              <w:t>信息公开申请</w:t>
            </w:r>
          </w:p>
        </w:tc>
        <w:tc>
          <w:tcPr>
            <w:tcW w:w="867" w:type="dxa"/>
            <w:tcBorders>
              <w:tl2br w:val="nil"/>
              <w:tr2bl w:val="nil"/>
            </w:tcBorders>
            <w:noWrap w:val="0"/>
            <w:vAlign w:val="center"/>
          </w:tcPr>
          <w:p>
            <w:pPr>
              <w:pStyle w:val="6"/>
              <w:jc w:val="center"/>
              <w:rPr>
                <w:rFonts w:hint="default"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eastAsia="仿宋_GB2312"/>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716" w:hRule="atLeast"/>
          <w:jc w:val="center"/>
        </w:trPr>
        <w:tc>
          <w:tcPr>
            <w:tcW w:w="434" w:type="dxa"/>
            <w:vMerge w:val="continue"/>
            <w:tcBorders>
              <w:tl2br w:val="nil"/>
              <w:tr2bl w:val="nil"/>
            </w:tcBorders>
            <w:noWrap w:val="0"/>
            <w:vAlign w:val="top"/>
          </w:tcPr>
          <w:p>
            <w:pPr>
              <w:pStyle w:val="6"/>
              <w:spacing w:before="25"/>
              <w:ind w:left="9" w:right="-15"/>
            </w:pPr>
          </w:p>
        </w:tc>
        <w:tc>
          <w:tcPr>
            <w:tcW w:w="1783" w:type="dxa"/>
            <w:vMerge w:val="continue"/>
            <w:tcBorders>
              <w:tl2br w:val="nil"/>
              <w:tr2bl w:val="nil"/>
            </w:tcBorders>
            <w:noWrap w:val="0"/>
            <w:vAlign w:val="top"/>
          </w:tcPr>
          <w:p>
            <w:pPr>
              <w:pStyle w:val="6"/>
              <w:spacing w:before="25"/>
              <w:ind w:left="9" w:right="-15"/>
            </w:pPr>
          </w:p>
        </w:tc>
        <w:tc>
          <w:tcPr>
            <w:tcW w:w="3126" w:type="dxa"/>
            <w:tcBorders>
              <w:tl2br w:val="nil"/>
              <w:tr2bl w:val="nil"/>
            </w:tcBorders>
            <w:noWrap w:val="0"/>
            <w:vAlign w:val="top"/>
          </w:tcPr>
          <w:p>
            <w:pPr>
              <w:pStyle w:val="6"/>
              <w:spacing w:before="25"/>
              <w:ind w:left="9" w:right="-15"/>
              <w:rPr>
                <w:rFonts w:hint="default" w:eastAsia="仿宋_GB2312"/>
                <w:w w:val="95"/>
                <w:sz w:val="21"/>
                <w:lang w:val="en-US" w:eastAsia="zh-CN"/>
              </w:rPr>
            </w:pPr>
            <w:r>
              <w:rPr>
                <w:rFonts w:hint="eastAsia"/>
                <w:w w:val="95"/>
                <w:sz w:val="21"/>
                <w:lang w:val="en-US" w:eastAsia="zh-CN"/>
              </w:rPr>
              <w:t>2.申请人逾期未按收费通知缴纳费用、行政机关不再处理其政府信息公开申请</w:t>
            </w:r>
          </w:p>
        </w:tc>
        <w:tc>
          <w:tcPr>
            <w:tcW w:w="867"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89" w:hRule="atLeast"/>
          <w:jc w:val="center"/>
        </w:trPr>
        <w:tc>
          <w:tcPr>
            <w:tcW w:w="434" w:type="dxa"/>
            <w:vMerge w:val="continue"/>
            <w:tcBorders>
              <w:tl2br w:val="nil"/>
              <w:tr2bl w:val="nil"/>
            </w:tcBorders>
            <w:noWrap w:val="0"/>
            <w:vAlign w:val="top"/>
          </w:tcPr>
          <w:p>
            <w:pPr>
              <w:pStyle w:val="6"/>
              <w:spacing w:before="25"/>
              <w:ind w:left="9" w:right="-15"/>
            </w:pPr>
          </w:p>
        </w:tc>
        <w:tc>
          <w:tcPr>
            <w:tcW w:w="1783" w:type="dxa"/>
            <w:vMerge w:val="continue"/>
            <w:tcBorders>
              <w:tl2br w:val="nil"/>
              <w:tr2bl w:val="nil"/>
            </w:tcBorders>
            <w:noWrap w:val="0"/>
            <w:vAlign w:val="top"/>
          </w:tcPr>
          <w:p>
            <w:pPr>
              <w:pStyle w:val="6"/>
              <w:spacing w:before="25"/>
              <w:ind w:left="9" w:right="-15"/>
            </w:pPr>
          </w:p>
        </w:tc>
        <w:tc>
          <w:tcPr>
            <w:tcW w:w="3126" w:type="dxa"/>
            <w:tcBorders>
              <w:tl2br w:val="nil"/>
              <w:tr2bl w:val="nil"/>
            </w:tcBorders>
            <w:noWrap w:val="0"/>
            <w:vAlign w:val="top"/>
          </w:tcPr>
          <w:p>
            <w:pPr>
              <w:pStyle w:val="6"/>
              <w:spacing w:before="25"/>
              <w:ind w:left="9" w:right="-15"/>
              <w:rPr>
                <w:rFonts w:hint="default" w:eastAsia="仿宋_GB2312"/>
                <w:w w:val="95"/>
                <w:sz w:val="21"/>
                <w:lang w:val="en-US" w:eastAsia="zh-CN"/>
              </w:rPr>
            </w:pPr>
            <w:r>
              <w:rPr>
                <w:rFonts w:hint="eastAsia"/>
                <w:w w:val="95"/>
                <w:sz w:val="21"/>
                <w:lang w:val="en-US" w:eastAsia="zh-CN"/>
              </w:rPr>
              <w:t>3.其他</w:t>
            </w:r>
          </w:p>
        </w:tc>
        <w:tc>
          <w:tcPr>
            <w:tcW w:w="867"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eastAsia" w:ascii="Times New Roman"/>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35" w:hRule="atLeast"/>
          <w:jc w:val="center"/>
        </w:trPr>
        <w:tc>
          <w:tcPr>
            <w:tcW w:w="434" w:type="dxa"/>
            <w:vMerge w:val="continue"/>
            <w:tcBorders>
              <w:tl2br w:val="nil"/>
              <w:tr2bl w:val="nil"/>
            </w:tcBorders>
            <w:noWrap w:val="0"/>
            <w:vAlign w:val="top"/>
          </w:tcPr>
          <w:p>
            <w:pPr>
              <w:rPr>
                <w:sz w:val="2"/>
                <w:szCs w:val="2"/>
              </w:rPr>
            </w:pPr>
          </w:p>
        </w:tc>
        <w:tc>
          <w:tcPr>
            <w:tcW w:w="4909" w:type="dxa"/>
            <w:gridSpan w:val="2"/>
            <w:tcBorders>
              <w:tl2br w:val="nil"/>
              <w:tr2bl w:val="nil"/>
            </w:tcBorders>
            <w:noWrap w:val="0"/>
            <w:vAlign w:val="top"/>
          </w:tcPr>
          <w:p>
            <w:pPr>
              <w:pStyle w:val="6"/>
              <w:spacing w:before="31" w:line="247" w:lineRule="exact"/>
              <w:ind w:left="9" w:right="-15"/>
              <w:jc w:val="left"/>
              <w:rPr>
                <w:sz w:val="21"/>
              </w:rPr>
            </w:pPr>
            <w:r>
              <w:rPr>
                <w:rFonts w:hint="eastAsia" w:ascii="黑体" w:eastAsia="黑体"/>
                <w:sz w:val="21"/>
              </w:rPr>
              <w:t>（</w:t>
            </w:r>
            <w:r>
              <w:rPr>
                <w:rFonts w:hint="eastAsia" w:ascii="黑体" w:eastAsia="黑体"/>
                <w:sz w:val="21"/>
                <w:lang w:eastAsia="zh-CN"/>
              </w:rPr>
              <w:t>七</w:t>
            </w:r>
            <w:r>
              <w:rPr>
                <w:rFonts w:hint="eastAsia" w:ascii="黑体" w:eastAsia="黑体"/>
                <w:sz w:val="21"/>
              </w:rPr>
              <w:t>）</w:t>
            </w:r>
            <w:r>
              <w:rPr>
                <w:rFonts w:hint="eastAsia" w:ascii="黑体" w:eastAsia="黑体"/>
                <w:sz w:val="21"/>
                <w:lang w:eastAsia="zh-CN"/>
              </w:rPr>
              <w:t>总计</w:t>
            </w:r>
          </w:p>
        </w:tc>
        <w:tc>
          <w:tcPr>
            <w:tcW w:w="867"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PrEx>
        <w:trPr>
          <w:trHeight w:val="250" w:hRule="atLeast"/>
          <w:jc w:val="center"/>
        </w:trPr>
        <w:tc>
          <w:tcPr>
            <w:tcW w:w="5343" w:type="dxa"/>
            <w:gridSpan w:val="3"/>
            <w:tcBorders>
              <w:tl2br w:val="nil"/>
              <w:tr2bl w:val="nil"/>
            </w:tcBorders>
            <w:noWrap w:val="0"/>
            <w:vAlign w:val="top"/>
          </w:tcPr>
          <w:p>
            <w:pPr>
              <w:pStyle w:val="6"/>
              <w:spacing w:before="31" w:line="247" w:lineRule="exact"/>
              <w:ind w:left="9" w:right="-15"/>
              <w:rPr>
                <w:rFonts w:hint="eastAsia" w:eastAsia="仿宋_GB2312"/>
                <w:sz w:val="21"/>
                <w:lang w:eastAsia="zh-CN"/>
              </w:rPr>
            </w:pPr>
            <w:r>
              <w:rPr>
                <w:rFonts w:hint="eastAsia" w:ascii="黑体" w:eastAsia="黑体"/>
                <w:sz w:val="21"/>
                <w:lang w:eastAsia="zh-CN"/>
              </w:rPr>
              <w:t>四、结转下年度继续处理</w:t>
            </w:r>
          </w:p>
        </w:tc>
        <w:tc>
          <w:tcPr>
            <w:tcW w:w="867"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591"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765"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740"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604"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c>
          <w:tcPr>
            <w:tcW w:w="898" w:type="dxa"/>
            <w:tcBorders>
              <w:tl2br w:val="nil"/>
              <w:tr2bl w:val="nil"/>
            </w:tcBorders>
            <w:noWrap w:val="0"/>
            <w:vAlign w:val="center"/>
          </w:tcPr>
          <w:p>
            <w:pPr>
              <w:pStyle w:val="6"/>
              <w:jc w:val="center"/>
              <w:rPr>
                <w:rFonts w:hint="default" w:ascii="Times New Roman"/>
                <w:sz w:val="22"/>
                <w:lang w:val="en-US" w:eastAsia="zh-CN"/>
              </w:rPr>
            </w:pPr>
            <w:r>
              <w:rPr>
                <w:rFonts w:hint="eastAsia" w:ascii="Times New Roman"/>
                <w:sz w:val="2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333333"/>
          <w:spacing w:val="0"/>
          <w:sz w:val="32"/>
          <w:szCs w:val="32"/>
          <w:shd w:val="clear" w:fill="FFFFFF"/>
          <w:lang w:val="en-US" w:eastAsia="zh-CN"/>
        </w:rPr>
      </w:pPr>
      <w:r>
        <w:rPr>
          <w:rFonts w:hint="eastAsia" w:ascii="黑体" w:hAnsi="黑体" w:eastAsia="黑体" w:cs="黑体"/>
          <w:color w:val="333333"/>
          <w:spacing w:val="0"/>
          <w:sz w:val="32"/>
          <w:szCs w:val="32"/>
          <w:shd w:val="clear" w:fill="FFFFFF"/>
          <w:lang w:eastAsia="zh-CN"/>
        </w:rPr>
        <w:t>四、因</w:t>
      </w:r>
      <w:r>
        <w:rPr>
          <w:rFonts w:hint="eastAsia" w:ascii="黑体" w:hAnsi="黑体" w:eastAsia="黑体" w:cs="黑体"/>
          <w:color w:val="333333"/>
          <w:spacing w:val="0"/>
          <w:sz w:val="32"/>
          <w:szCs w:val="32"/>
          <w:shd w:val="clear" w:fill="FFFFFF"/>
        </w:rPr>
        <w:t>政府信息公开</w:t>
      </w:r>
      <w:r>
        <w:rPr>
          <w:rFonts w:hint="eastAsia" w:ascii="黑体" w:hAnsi="黑体" w:eastAsia="黑体" w:cs="黑体"/>
          <w:color w:val="333333"/>
          <w:spacing w:val="0"/>
          <w:sz w:val="32"/>
          <w:szCs w:val="32"/>
          <w:shd w:val="clear" w:fill="FFFFFF"/>
          <w:lang w:eastAsia="zh-CN"/>
        </w:rPr>
        <w:t>工作被申请</w:t>
      </w:r>
      <w:r>
        <w:rPr>
          <w:rFonts w:hint="eastAsia" w:ascii="黑体" w:hAnsi="黑体" w:eastAsia="黑体" w:cs="黑体"/>
          <w:color w:val="333333"/>
          <w:spacing w:val="0"/>
          <w:sz w:val="32"/>
          <w:szCs w:val="32"/>
          <w:shd w:val="clear" w:fill="FFFFFF"/>
        </w:rPr>
        <w:t>行政复议</w:t>
      </w:r>
      <w:r>
        <w:rPr>
          <w:rFonts w:hint="eastAsia" w:ascii="黑体" w:hAnsi="黑体" w:eastAsia="黑体" w:cs="黑体"/>
          <w:color w:val="333333"/>
          <w:spacing w:val="0"/>
          <w:sz w:val="32"/>
          <w:szCs w:val="32"/>
          <w:shd w:val="clear" w:fill="FFFFFF"/>
          <w:lang w:eastAsia="zh-CN"/>
        </w:rPr>
        <w:t>和提起</w:t>
      </w:r>
      <w:r>
        <w:rPr>
          <w:rFonts w:hint="eastAsia" w:ascii="黑体" w:hAnsi="黑体" w:eastAsia="黑体" w:cs="黑体"/>
          <w:color w:val="333333"/>
          <w:spacing w:val="0"/>
          <w:sz w:val="32"/>
          <w:szCs w:val="32"/>
          <w:shd w:val="clear" w:fill="FFFFFF"/>
        </w:rPr>
        <w:t>行政诉讼情况</w:t>
      </w:r>
    </w:p>
    <w:tbl>
      <w:tblPr>
        <w:tblStyle w:val="4"/>
        <w:tblW w:w="96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6"/>
        <w:gridCol w:w="622"/>
        <w:gridCol w:w="622"/>
        <w:gridCol w:w="622"/>
        <w:gridCol w:w="657"/>
        <w:gridCol w:w="662"/>
        <w:gridCol w:w="622"/>
        <w:gridCol w:w="653"/>
        <w:gridCol w:w="622"/>
        <w:gridCol w:w="625"/>
        <w:gridCol w:w="722"/>
        <w:gridCol w:w="705"/>
        <w:gridCol w:w="707"/>
        <w:gridCol w:w="683"/>
        <w:gridCol w:w="4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32" w:hRule="atLeast"/>
          <w:jc w:val="center"/>
        </w:trPr>
        <w:tc>
          <w:tcPr>
            <w:tcW w:w="316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行政复议</w:t>
            </w:r>
          </w:p>
        </w:tc>
        <w:tc>
          <w:tcPr>
            <w:tcW w:w="6470"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8" w:hRule="atLeast"/>
          <w:jc w:val="center"/>
        </w:trPr>
        <w:tc>
          <w:tcPr>
            <w:tcW w:w="64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维持</w:t>
            </w:r>
          </w:p>
        </w:tc>
        <w:tc>
          <w:tcPr>
            <w:tcW w:w="62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纠正</w:t>
            </w:r>
          </w:p>
        </w:tc>
        <w:tc>
          <w:tcPr>
            <w:tcW w:w="6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tc>
        <w:tc>
          <w:tcPr>
            <w:tcW w:w="6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审结</w:t>
            </w:r>
          </w:p>
        </w:tc>
        <w:tc>
          <w:tcPr>
            <w:tcW w:w="65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计</w:t>
            </w:r>
          </w:p>
        </w:tc>
        <w:tc>
          <w:tcPr>
            <w:tcW w:w="318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未经复议直接起诉</w:t>
            </w:r>
          </w:p>
        </w:tc>
        <w:tc>
          <w:tcPr>
            <w:tcW w:w="328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6" w:hRule="atLeast"/>
          <w:jc w:val="center"/>
        </w:trPr>
        <w:tc>
          <w:tcPr>
            <w:tcW w:w="64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2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6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维持</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纠正</w:t>
            </w:r>
          </w:p>
        </w:tc>
        <w:tc>
          <w:tcPr>
            <w:tcW w:w="65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tc>
        <w:tc>
          <w:tcPr>
            <w:tcW w:w="6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审结</w:t>
            </w:r>
          </w:p>
        </w:tc>
        <w:tc>
          <w:tcPr>
            <w:tcW w:w="6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计</w:t>
            </w:r>
          </w:p>
        </w:tc>
        <w:tc>
          <w:tcPr>
            <w:tcW w:w="7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维持</w:t>
            </w:r>
          </w:p>
        </w:tc>
        <w:tc>
          <w:tcPr>
            <w:tcW w:w="7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纠正</w:t>
            </w:r>
          </w:p>
        </w:tc>
        <w:tc>
          <w:tcPr>
            <w:tcW w:w="7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结果</w:t>
            </w:r>
          </w:p>
        </w:tc>
        <w:tc>
          <w:tcPr>
            <w:tcW w:w="6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审结</w:t>
            </w:r>
          </w:p>
        </w:tc>
        <w:tc>
          <w:tcPr>
            <w:tcW w:w="4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pPr>
            <w:r>
              <w:rPr>
                <w:rFonts w:hint="eastAsia" w:ascii="宋体" w:hAnsi="宋体" w:eastAsia="宋体" w:cs="宋体"/>
                <w:sz w:val="21"/>
                <w:szCs w:val="21"/>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default"/>
                <w:lang w:val="en-US" w:eastAsia="zh-CN"/>
              </w:rPr>
            </w:pPr>
            <w:r>
              <w:rPr>
                <w:rFonts w:hint="eastAsia"/>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default"/>
                <w:lang w:val="en-US" w:eastAsia="zh-CN"/>
              </w:rPr>
            </w:pPr>
            <w:r>
              <w:rPr>
                <w:rFonts w:hint="eastAsia"/>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5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default"/>
                <w:lang w:val="en-US" w:eastAsia="zh-CN"/>
              </w:rPr>
            </w:pPr>
            <w:r>
              <w:rPr>
                <w:rFonts w:hint="eastAsia"/>
                <w:lang w:val="en-US" w:eastAsia="zh-CN"/>
              </w:rPr>
              <w:t>0</w:t>
            </w:r>
          </w:p>
        </w:tc>
        <w:tc>
          <w:tcPr>
            <w:tcW w:w="66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5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2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722"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70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7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68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c>
          <w:tcPr>
            <w:tcW w:w="46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 w:right="-63"/>
              <w:jc w:val="center"/>
              <w:rPr>
                <w:rFonts w:hint="eastAsia"/>
                <w:lang w:val="en-US" w:eastAsia="zh-CN"/>
              </w:rPr>
            </w:pPr>
            <w:r>
              <w:rPr>
                <w:rFonts w:hint="default"/>
                <w:lang w:val="en-US" w:eastAsia="zh-CN"/>
              </w:rPr>
              <w:t>0</w:t>
            </w:r>
          </w:p>
        </w:tc>
      </w:tr>
    </w:tbl>
    <w:p>
      <w:pPr>
        <w:numPr>
          <w:ilvl w:val="0"/>
          <w:numId w:val="0"/>
        </w:numPr>
        <w:bidi w:val="0"/>
        <w:jc w:val="left"/>
        <w:rPr>
          <w:rFonts w:hint="eastAsia" w:ascii="仿宋_GB2312" w:hAnsi="微软雅黑" w:eastAsia="仿宋_GB2312" w:cs="仿宋_GB2312"/>
          <w:color w:val="333333"/>
          <w:spacing w:val="0"/>
          <w:sz w:val="31"/>
          <w:szCs w:val="31"/>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333333"/>
          <w:spacing w:val="0"/>
          <w:sz w:val="32"/>
          <w:szCs w:val="32"/>
          <w:shd w:val="clear" w:fill="FFFFFF"/>
        </w:rPr>
      </w:pPr>
      <w:r>
        <w:rPr>
          <w:rFonts w:hint="eastAsia" w:ascii="黑体" w:hAnsi="黑体" w:eastAsia="黑体" w:cs="黑体"/>
          <w:color w:val="333333"/>
          <w:spacing w:val="0"/>
          <w:sz w:val="32"/>
          <w:szCs w:val="32"/>
          <w:shd w:val="clear" w:fill="FFFFFF"/>
          <w:lang w:eastAsia="zh-CN"/>
        </w:rPr>
        <w:t>五、</w:t>
      </w:r>
      <w:r>
        <w:rPr>
          <w:rFonts w:hint="eastAsia" w:ascii="黑体" w:hAnsi="黑体" w:eastAsia="黑体" w:cs="黑体"/>
          <w:color w:val="333333"/>
          <w:spacing w:val="0"/>
          <w:sz w:val="32"/>
          <w:szCs w:val="32"/>
          <w:shd w:val="clear" w:fill="FFFFFF"/>
        </w:rPr>
        <w:t>政府信息公开工作存在的主要问题及改进情况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微软雅黑" w:eastAsia="仿宋_GB2312" w:cs="仿宋_GB2312"/>
          <w:color w:val="333333"/>
          <w:spacing w:val="0"/>
          <w:kern w:val="0"/>
          <w:sz w:val="32"/>
          <w:szCs w:val="32"/>
          <w:shd w:val="clear" w:fill="FFFFFF"/>
          <w:lang w:val="en-US" w:eastAsia="zh-CN" w:bidi="ar"/>
        </w:rPr>
      </w:pPr>
      <w:r>
        <w:rPr>
          <w:rFonts w:hint="eastAsia" w:ascii="仿宋_GB2312" w:hAnsi="微软雅黑" w:eastAsia="仿宋_GB2312" w:cs="仿宋_GB2312"/>
          <w:color w:val="333333"/>
          <w:spacing w:val="0"/>
          <w:kern w:val="0"/>
          <w:sz w:val="32"/>
          <w:szCs w:val="32"/>
          <w:shd w:val="clear" w:fill="FFFFFF"/>
          <w:lang w:val="en-US" w:eastAsia="zh-CN" w:bidi="ar"/>
        </w:rPr>
        <w:t>在看到成绩的同时，我们也清醒地认识到，我镇的政务公开工作还存在着一些问题：1、政府信息公开工作规范化有待进一步加强；2、政府信息公开的内容比较单一，有待进一步完善，主动信息公开的完整性、及时性有待提高；3、政府信息公开队伍建设还需加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_GB2312" w:hAnsi="微软雅黑" w:eastAsia="仿宋_GB2312" w:cs="仿宋_GB2312"/>
          <w:color w:val="333333"/>
          <w:spacing w:val="0"/>
          <w:kern w:val="0"/>
          <w:sz w:val="32"/>
          <w:szCs w:val="32"/>
          <w:shd w:val="clear" w:fill="FFFFFF"/>
          <w:lang w:val="en-US" w:eastAsia="zh-CN" w:bidi="ar"/>
        </w:rPr>
        <w:t>2023年，我们将一如既往地按照上级要求，继续大力推进我镇政府信息公开工作，主要做好以下几方面工作：1、充实公开内容。按照"以公开为原则，不公开为例外"的总体要求，进一步做好公开和免予公开两类政府信息的界定，结合基层工作实际，完善主动公开的政府信息内容。2、规范、优化申请处理流程，加强政府信息公开咨询服务工作。建立一套行之有效、有操作性的相关制度，用于规范政府工作人员依法公开、真实公开，用于规范具体经办人员的日常工作行为。3、拓展政务信息公开形式。进一步完善政务信息网，同时充分利用政府发行的工作简报、信息公告栏、广播等多种载体，进一步及时、规范做好信息公开工作，以政府信息公开带动办事公开，以办事公开促进便民服务。</w:t>
      </w:r>
    </w:p>
    <w:p>
      <w:pPr>
        <w:keepNext w:val="0"/>
        <w:keepLines w:val="0"/>
        <w:pageBreakBefore w:val="0"/>
        <w:widowControl w:val="0"/>
        <w:numPr>
          <w:ilvl w:val="0"/>
          <w:numId w:val="0"/>
        </w:numPr>
        <w:kinsoku/>
        <w:wordWrap/>
        <w:overflowPunct/>
        <w:topLinePunct w:val="0"/>
        <w:autoSpaceDE/>
        <w:autoSpaceDN/>
        <w:bidi w:val="0"/>
        <w:adjustRightInd/>
        <w:snapToGrid/>
        <w:ind w:left="79" w:leftChars="0" w:firstLine="640" w:firstLineChars="200"/>
        <w:jc w:val="left"/>
        <w:textAlignment w:val="auto"/>
        <w:rPr>
          <w:rFonts w:hint="eastAsia" w:ascii="黑体" w:hAnsi="黑体" w:eastAsia="黑体" w:cs="黑体"/>
          <w:color w:val="333333"/>
          <w:spacing w:val="0"/>
          <w:sz w:val="32"/>
          <w:szCs w:val="32"/>
          <w:shd w:val="clear" w:fill="FFFFFF"/>
        </w:rPr>
      </w:pPr>
      <w:r>
        <w:rPr>
          <w:rFonts w:hint="eastAsia" w:ascii="黑体" w:hAnsi="黑体" w:eastAsia="黑体" w:cs="黑体"/>
          <w:color w:val="333333"/>
          <w:spacing w:val="0"/>
          <w:sz w:val="32"/>
          <w:szCs w:val="32"/>
          <w:shd w:val="clear" w:fill="FFFFFF"/>
          <w:lang w:eastAsia="zh-CN"/>
        </w:rPr>
        <w:t>六、</w:t>
      </w:r>
      <w:r>
        <w:rPr>
          <w:rFonts w:hint="eastAsia" w:ascii="黑体" w:hAnsi="黑体" w:eastAsia="黑体" w:cs="黑体"/>
          <w:color w:val="333333"/>
          <w:spacing w:val="0"/>
          <w:sz w:val="32"/>
          <w:szCs w:val="32"/>
          <w:shd w:val="clear" w:fill="FFFFFF"/>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微软雅黑" w:eastAsia="仿宋_GB2312" w:cs="仿宋_GB2312"/>
          <w:color w:val="333333"/>
          <w:spacing w:val="0"/>
          <w:kern w:val="0"/>
          <w:sz w:val="32"/>
          <w:szCs w:val="32"/>
          <w:shd w:val="clear" w:fill="FFFFFF"/>
          <w:lang w:val="en-US" w:eastAsia="zh-CN" w:bidi="ar"/>
        </w:rPr>
      </w:pPr>
      <w:r>
        <w:rPr>
          <w:rFonts w:hint="default" w:ascii="仿宋_GB2312" w:hAnsi="微软雅黑" w:eastAsia="仿宋_GB2312" w:cs="仿宋_GB2312"/>
          <w:color w:val="333333"/>
          <w:spacing w:val="0"/>
          <w:kern w:val="0"/>
          <w:sz w:val="32"/>
          <w:szCs w:val="32"/>
          <w:shd w:val="clear" w:fill="FFFFFF"/>
          <w:lang w:val="en-US" w:eastAsia="zh-CN" w:bidi="ar"/>
        </w:rPr>
        <w:t>本报告中所列数据的统计期限为2022年1月1</w:t>
      </w:r>
      <w:r>
        <w:rPr>
          <w:rFonts w:hint="eastAsia" w:ascii="仿宋_GB2312" w:hAnsi="微软雅黑" w:eastAsia="仿宋_GB2312" w:cs="仿宋_GB2312"/>
          <w:color w:val="333333"/>
          <w:spacing w:val="0"/>
          <w:kern w:val="0"/>
          <w:sz w:val="32"/>
          <w:szCs w:val="32"/>
          <w:shd w:val="clear" w:fill="FFFFFF"/>
          <w:lang w:val="en-US" w:eastAsia="zh-CN" w:bidi="ar"/>
        </w:rPr>
        <w:t>日—</w:t>
      </w:r>
      <w:r>
        <w:rPr>
          <w:rFonts w:hint="default" w:ascii="仿宋_GB2312" w:hAnsi="微软雅黑" w:eastAsia="仿宋_GB2312" w:cs="仿宋_GB2312"/>
          <w:color w:val="333333"/>
          <w:spacing w:val="0"/>
          <w:kern w:val="0"/>
          <w:sz w:val="32"/>
          <w:szCs w:val="32"/>
          <w:shd w:val="clear" w:fill="FFFFFF"/>
          <w:lang w:val="en-US" w:eastAsia="zh-CN" w:bidi="ar"/>
        </w:rPr>
        <w:t>2022年12月31日。报告的电子版可在</w:t>
      </w:r>
      <w:r>
        <w:rPr>
          <w:rFonts w:hint="eastAsia" w:ascii="仿宋_GB2312" w:hAnsi="微软雅黑" w:eastAsia="仿宋_GB2312" w:cs="仿宋_GB2312"/>
          <w:color w:val="333333"/>
          <w:spacing w:val="0"/>
          <w:kern w:val="0"/>
          <w:sz w:val="32"/>
          <w:szCs w:val="32"/>
          <w:shd w:val="clear" w:fill="FFFFFF"/>
          <w:lang w:val="en-US" w:eastAsia="zh-CN" w:bidi="ar"/>
        </w:rPr>
        <w:t>周村区王村镇</w:t>
      </w:r>
      <w:r>
        <w:rPr>
          <w:rFonts w:hint="default" w:ascii="仿宋_GB2312" w:hAnsi="微软雅黑" w:eastAsia="仿宋_GB2312" w:cs="仿宋_GB2312"/>
          <w:color w:val="333333"/>
          <w:spacing w:val="0"/>
          <w:kern w:val="0"/>
          <w:sz w:val="32"/>
          <w:szCs w:val="32"/>
          <w:shd w:val="clear" w:fill="FFFFFF"/>
          <w:lang w:val="en-US" w:eastAsia="zh-CN" w:bidi="ar"/>
        </w:rPr>
        <w:t>人民政府网站信息公开页面公开年报栏下载。如对本报告有任何疑问，可与</w:t>
      </w:r>
      <w:r>
        <w:rPr>
          <w:rFonts w:hint="eastAsia" w:ascii="仿宋_GB2312" w:hAnsi="微软雅黑" w:eastAsia="仿宋_GB2312" w:cs="仿宋_GB2312"/>
          <w:color w:val="333333"/>
          <w:spacing w:val="0"/>
          <w:kern w:val="0"/>
          <w:sz w:val="32"/>
          <w:szCs w:val="32"/>
          <w:shd w:val="clear" w:fill="FFFFFF"/>
          <w:lang w:val="en-US" w:eastAsia="zh-CN" w:bidi="ar"/>
        </w:rPr>
        <w:t>王村</w:t>
      </w:r>
      <w:r>
        <w:rPr>
          <w:rFonts w:hint="default" w:ascii="仿宋_GB2312" w:hAnsi="微软雅黑" w:eastAsia="仿宋_GB2312" w:cs="仿宋_GB2312"/>
          <w:color w:val="333333"/>
          <w:spacing w:val="0"/>
          <w:kern w:val="0"/>
          <w:sz w:val="32"/>
          <w:szCs w:val="32"/>
          <w:shd w:val="clear" w:fill="FFFFFF"/>
          <w:lang w:val="en-US" w:eastAsia="zh-CN" w:bidi="ar"/>
        </w:rPr>
        <w:t>镇人民政府党政办联系。地址：</w:t>
      </w:r>
      <w:r>
        <w:rPr>
          <w:rFonts w:hint="eastAsia" w:ascii="仿宋_GB2312" w:hAnsi="微软雅黑" w:eastAsia="仿宋_GB2312" w:cs="仿宋_GB2312"/>
          <w:color w:val="333333"/>
          <w:spacing w:val="0"/>
          <w:kern w:val="0"/>
          <w:sz w:val="32"/>
          <w:szCs w:val="32"/>
          <w:shd w:val="clear" w:fill="FFFFFF"/>
          <w:lang w:val="en-US" w:eastAsia="zh-CN" w:bidi="ar"/>
        </w:rPr>
        <w:t>淄博市周村区王村镇兴华路60-64号王村镇</w:t>
      </w:r>
      <w:r>
        <w:rPr>
          <w:rFonts w:hint="default" w:ascii="仿宋_GB2312" w:hAnsi="微软雅黑" w:eastAsia="仿宋_GB2312" w:cs="仿宋_GB2312"/>
          <w:color w:val="333333"/>
          <w:spacing w:val="0"/>
          <w:kern w:val="0"/>
          <w:sz w:val="32"/>
          <w:szCs w:val="32"/>
          <w:shd w:val="clear" w:fill="FFFFFF"/>
          <w:lang w:val="en-US" w:eastAsia="zh-CN" w:bidi="ar"/>
        </w:rPr>
        <w:t>人民政府二楼党政办公室，联系电话</w:t>
      </w:r>
      <w:r>
        <w:rPr>
          <w:rFonts w:hint="eastAsia" w:ascii="仿宋_GB2312" w:hAnsi="微软雅黑" w:eastAsia="仿宋_GB2312" w:cs="仿宋_GB2312"/>
          <w:color w:val="333333"/>
          <w:spacing w:val="0"/>
          <w:kern w:val="0"/>
          <w:sz w:val="32"/>
          <w:szCs w:val="32"/>
          <w:shd w:val="clear" w:fill="FFFFFF"/>
          <w:lang w:val="en-US" w:eastAsia="zh-CN" w:bidi="ar"/>
        </w:rPr>
        <w:t>0533</w:t>
      </w:r>
      <w:r>
        <w:rPr>
          <w:rFonts w:hint="default" w:ascii="仿宋_GB2312" w:hAnsi="微软雅黑" w:eastAsia="仿宋_GB2312" w:cs="仿宋_GB2312"/>
          <w:color w:val="333333"/>
          <w:spacing w:val="0"/>
          <w:kern w:val="0"/>
          <w:sz w:val="32"/>
          <w:szCs w:val="32"/>
          <w:shd w:val="clear" w:fill="FFFFFF"/>
          <w:lang w:val="en-US" w:eastAsia="zh-CN" w:bidi="ar"/>
        </w:rPr>
        <w:t>-</w:t>
      </w:r>
      <w:r>
        <w:rPr>
          <w:rFonts w:hint="eastAsia" w:ascii="仿宋_GB2312" w:hAnsi="微软雅黑" w:eastAsia="仿宋_GB2312" w:cs="仿宋_GB2312"/>
          <w:color w:val="333333"/>
          <w:spacing w:val="0"/>
          <w:kern w:val="0"/>
          <w:sz w:val="32"/>
          <w:szCs w:val="32"/>
          <w:shd w:val="clear" w:fill="FFFFFF"/>
          <w:lang w:val="en-US" w:eastAsia="zh-CN" w:bidi="ar"/>
        </w:rPr>
        <w:t>6680999</w:t>
      </w:r>
      <w:r>
        <w:rPr>
          <w:rFonts w:hint="default" w:ascii="仿宋_GB2312" w:hAnsi="微软雅黑" w:eastAsia="仿宋_GB2312" w:cs="仿宋_GB2312"/>
          <w:color w:val="333333"/>
          <w:spacing w:val="0"/>
          <w:kern w:val="0"/>
          <w:sz w:val="32"/>
          <w:szCs w:val="32"/>
          <w:shd w:val="clear" w:fill="FFFFFF"/>
          <w:lang w:val="en-US" w:eastAsia="zh-CN" w:bidi="ar"/>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ZGVkMWM3ZTg4ZjcwNmE2MzBiMmVlYTA0MmYwM2MifQ=="/>
  </w:docVars>
  <w:rsids>
    <w:rsidRoot w:val="00000000"/>
    <w:rsid w:val="01FC6C5F"/>
    <w:rsid w:val="0680304E"/>
    <w:rsid w:val="13001549"/>
    <w:rsid w:val="1D8648FE"/>
    <w:rsid w:val="21ED5621"/>
    <w:rsid w:val="23020039"/>
    <w:rsid w:val="2ED26038"/>
    <w:rsid w:val="310048D1"/>
    <w:rsid w:val="337D1DE2"/>
    <w:rsid w:val="39475874"/>
    <w:rsid w:val="3C3366D6"/>
    <w:rsid w:val="3ED656D0"/>
    <w:rsid w:val="3EDB2CE7"/>
    <w:rsid w:val="41E06546"/>
    <w:rsid w:val="440623C0"/>
    <w:rsid w:val="4447741F"/>
    <w:rsid w:val="495C51AE"/>
    <w:rsid w:val="4A31389A"/>
    <w:rsid w:val="4B736000"/>
    <w:rsid w:val="4D090380"/>
    <w:rsid w:val="4D445EFB"/>
    <w:rsid w:val="56A96DCF"/>
    <w:rsid w:val="58D345D7"/>
    <w:rsid w:val="58E95545"/>
    <w:rsid w:val="67696832"/>
    <w:rsid w:val="67974BF5"/>
    <w:rsid w:val="6E3E5E82"/>
    <w:rsid w:val="71EC2889"/>
    <w:rsid w:val="761738FD"/>
    <w:rsid w:val="766F0171"/>
    <w:rsid w:val="7BCD518A"/>
    <w:rsid w:val="7C00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2744</Words>
  <Characters>2805</Characters>
  <Lines>0</Lines>
  <Paragraphs>0</Paragraphs>
  <TotalTime>235</TotalTime>
  <ScaleCrop>false</ScaleCrop>
  <LinksUpToDate>false</LinksUpToDate>
  <CharactersWithSpaces>2807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2023-01-09T07:41:00Z</dcterms:created>
  <dc:creator>admin</dc:creator>
  <cp:lastModifiedBy>王书印</cp:lastModifiedBy>
  <cp:lastPrinted>2023-01-13T07:42:00Z</cp:lastPrinted>
  <dcterms:modified xsi:type="dcterms:W3CDTF">2023-01-16T09:56:41Z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7029561073AB4E56930FF9CA0A8DAE41</vt:lpwstr>
  </property>
</Properties>
</file>