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C428F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t>《淄博市周村区王村镇国土空间规划(2021-2035年)》(征求意见稿)公示</w:t>
      </w:r>
    </w:p>
    <w:p w14:paraId="5D52734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pPr>
    </w:p>
    <w:p w14:paraId="0C64D37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为贯彻落实《中共中央国务院关于建立国土空间规划体系并监督实施的若干意见》等文件精神，建立责权清晰、科学高效的国</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土</w:t>
      </w:r>
      <w:r>
        <w:rPr>
          <w:rFonts w:hint="default" w:ascii="Times New Roman" w:hAnsi="Times New Roman" w:eastAsia="仿宋_GB2312" w:cs="Times New Roman"/>
          <w:color w:val="000000" w:themeColor="text1"/>
          <w:sz w:val="32"/>
          <w:szCs w:val="32"/>
          <w14:textFill>
            <w14:solidFill>
              <w14:schemeClr w14:val="tx1"/>
            </w14:solidFill>
          </w14:textFill>
        </w:rPr>
        <w:t>空间规划体系，整体谋划新时代国土空间开发保护格局，按照国家和省市统一安排部署，周村区王村镇人民政府组织编制了《淄博市周村区王村镇国土空间规划(2021-2035年)》(以下简称《规划》)，本轮规划在完成现状调研、初步成果编制、意见征询、专家论证等工作基础上，目前已形成《规划》公众征求意见稿。为广泛凝聚社会力量，进一步提高《规划》的科学性和操作性，现面向社会公众公开征求意见建议。</w:t>
      </w:r>
    </w:p>
    <w:p w14:paraId="1312462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公示时间:2024年7月23日至2024年8月2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日，公示期30日</w:t>
      </w:r>
    </w:p>
    <w:p w14:paraId="3F19A3D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公示单位:淄博市周村区王村镇人民政府。</w:t>
      </w:r>
    </w:p>
    <w:p w14:paraId="55AFB4B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意见反馈:公示期内，任何单位和个人均可通过邮寄信件、发送电子邮件的方式进行反馈。</w:t>
      </w:r>
    </w:p>
    <w:p w14:paraId="50B3C39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联系人:陈瀚</w:t>
      </w:r>
    </w:p>
    <w:p w14:paraId="1B644BA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电话:0533-6698015</w:t>
      </w:r>
    </w:p>
    <w:p w14:paraId="71B73BE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电子邮箱:</w:t>
      </w:r>
      <w:r>
        <w:rPr>
          <w:rFonts w:hint="default" w:ascii="Times New Roman" w:hAnsi="Times New Roman" w:cs="Times New Roman"/>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wangcun6680066@126.com</w:t>
      </w:r>
    </w:p>
    <w:p w14:paraId="1D81FEE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邮寄地址:山东省淄博市周村区王村镇政府(邮编255311，并在信封上注明“王村镇国土空间规划意见建议”字样，来信请注明真实姓名和联系电话)</w:t>
      </w:r>
    </w:p>
    <w:p w14:paraId="682EC6B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1F1C089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附件</w:t>
      </w:r>
    </w:p>
    <w:p w14:paraId="5C2CCA2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000000" w:themeColor="text1"/>
          <w:sz w:val="32"/>
          <w:szCs w:val="32"/>
          <w14:textFill>
            <w14:solidFill>
              <w14:schemeClr w14:val="tx1"/>
            </w14:solidFill>
          </w14:textFill>
        </w:rPr>
      </w:pPr>
    </w:p>
    <w:p w14:paraId="3EB039D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t>淄博市周村区王村镇国土空间</w:t>
      </w:r>
    </w:p>
    <w:p w14:paraId="2376D51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t>（2021-2035年）</w:t>
      </w:r>
    </w:p>
    <w:p w14:paraId="118205D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t>（征求意见稿）</w:t>
      </w:r>
    </w:p>
    <w:p w14:paraId="1D103FB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pPr>
    </w:p>
    <w:p w14:paraId="442798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color w:val="000000" w:themeColor="text1"/>
          <w:sz w:val="32"/>
          <w:szCs w:val="32"/>
          <w14:textFill>
            <w14:solidFill>
              <w14:schemeClr w14:val="tx1"/>
            </w14:solidFill>
          </w14:textFill>
        </w:rPr>
      </w:pPr>
      <w:r>
        <w:rPr>
          <w:rFonts w:hint="default" w:ascii="Times New Roman" w:hAnsi="Times New Roman" w:eastAsia="黑体" w:cs="Times New Roman"/>
          <w:b w:val="0"/>
          <w:bCs/>
          <w:color w:val="000000" w:themeColor="text1"/>
          <w:sz w:val="32"/>
          <w:szCs w:val="32"/>
          <w14:textFill>
            <w14:solidFill>
              <w14:schemeClr w14:val="tx1"/>
            </w14:solidFill>
          </w14:textFill>
        </w:rPr>
        <w:t>一、规划期限</w:t>
      </w:r>
    </w:p>
    <w:p w14:paraId="3E14F61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规划期限为2021年至2035年，基期年为2020年，近期至2025年，远期至2035年。</w:t>
      </w:r>
    </w:p>
    <w:p w14:paraId="45320D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color w:val="000000" w:themeColor="text1"/>
          <w:sz w:val="32"/>
          <w:szCs w:val="32"/>
          <w14:textFill>
            <w14:solidFill>
              <w14:schemeClr w14:val="tx1"/>
            </w14:solidFill>
          </w14:textFill>
        </w:rPr>
      </w:pPr>
      <w:r>
        <w:rPr>
          <w:rFonts w:hint="default" w:ascii="Times New Roman" w:hAnsi="Times New Roman" w:eastAsia="黑体" w:cs="Times New Roman"/>
          <w:b w:val="0"/>
          <w:bCs/>
          <w:color w:val="000000" w:themeColor="text1"/>
          <w:sz w:val="32"/>
          <w:szCs w:val="32"/>
          <w14:textFill>
            <w14:solidFill>
              <w14:schemeClr w14:val="tx1"/>
            </w14:solidFill>
          </w14:textFill>
        </w:rPr>
        <w:t>二、规划范围和规划层次</w:t>
      </w:r>
    </w:p>
    <w:p w14:paraId="4B23C2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themeColor="text1"/>
          <w:sz w:val="32"/>
          <w:szCs w:val="32"/>
          <w:lang w:eastAsia="zh-CN"/>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（一）规划范围</w:t>
      </w:r>
      <w:r>
        <w:rPr>
          <w:rFonts w:hint="eastAsia" w:ascii="楷体_GB2312" w:hAnsi="楷体_GB2312" w:eastAsia="楷体_GB2312" w:cs="楷体_GB2312"/>
          <w:color w:val="000000" w:themeColor="text1"/>
          <w:sz w:val="32"/>
          <w:szCs w:val="32"/>
          <w:lang w:eastAsia="zh-CN"/>
          <w14:textFill>
            <w14:solidFill>
              <w14:schemeClr w14:val="tx1"/>
            </w14:solidFill>
          </w14:textFill>
        </w:rPr>
        <w:t>。</w:t>
      </w:r>
    </w:p>
    <w:p w14:paraId="2C4A25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王村镇行政辖区范围全部国土空间。</w:t>
      </w:r>
    </w:p>
    <w:p w14:paraId="339A3A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（二）规划包括全域和城镇开发边界范围两个空间层次。</w:t>
      </w:r>
    </w:p>
    <w:p w14:paraId="3ECB4C4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第一层次：全域。</w:t>
      </w:r>
      <w:r>
        <w:rPr>
          <w:rFonts w:hint="default" w:ascii="Times New Roman" w:hAnsi="Times New Roman" w:eastAsia="仿宋_GB2312" w:cs="Times New Roman"/>
          <w:color w:val="000000" w:themeColor="text1"/>
          <w:sz w:val="32"/>
          <w:szCs w:val="32"/>
          <w14:textFill>
            <w14:solidFill>
              <w14:schemeClr w14:val="tx1"/>
            </w14:solidFill>
          </w14:textFill>
        </w:rPr>
        <w:t>王村镇全域面积5861.52公顷。重点统筹全域全要素规划管理，侧重国土空间开发保护的战略部署、总体格局、底线约束以及农业、生态和城镇空间等重要功能布局，明确乡镇级规划和相关专项规划传导要求等。</w:t>
      </w:r>
    </w:p>
    <w:p w14:paraId="1839484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第二层次：城镇开发边界范围。</w:t>
      </w:r>
      <w:r>
        <w:rPr>
          <w:rFonts w:hint="default" w:ascii="Times New Roman" w:hAnsi="Times New Roman" w:eastAsia="仿宋_GB2312" w:cs="Times New Roman"/>
          <w:color w:val="000000" w:themeColor="text1"/>
          <w:sz w:val="32"/>
          <w:szCs w:val="32"/>
          <w14:textFill>
            <w14:solidFill>
              <w14:schemeClr w14:val="tx1"/>
            </w14:solidFill>
          </w14:textFill>
        </w:rPr>
        <w:t>面积754.00公顷。重点细化土地使用和空间布局，侧重功能完善和结构优化，明确详细规划和相关专项规划传导要求</w:t>
      </w:r>
    </w:p>
    <w:p w14:paraId="6896D6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color w:val="000000" w:themeColor="text1"/>
          <w:sz w:val="32"/>
          <w:szCs w:val="32"/>
          <w14:textFill>
            <w14:solidFill>
              <w14:schemeClr w14:val="tx1"/>
            </w14:solidFill>
          </w14:textFill>
        </w:rPr>
      </w:pPr>
      <w:r>
        <w:rPr>
          <w:rFonts w:hint="default" w:ascii="Times New Roman" w:hAnsi="Times New Roman" w:eastAsia="黑体" w:cs="Times New Roman"/>
          <w:b w:val="0"/>
          <w:bCs/>
          <w:color w:val="000000" w:themeColor="text1"/>
          <w:sz w:val="32"/>
          <w:szCs w:val="32"/>
          <w14:textFill>
            <w14:solidFill>
              <w14:schemeClr w14:val="tx1"/>
            </w14:solidFill>
          </w14:textFill>
        </w:rPr>
        <w:t>三、城镇性质</w:t>
      </w:r>
    </w:p>
    <w:p w14:paraId="7DBD94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济淄同城化的桥头堡，新材料产业强镇、中国历史文化名镇。</w:t>
      </w:r>
    </w:p>
    <w:p w14:paraId="25E4DD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黑体" w:cs="Times New Roman"/>
          <w:b w:val="0"/>
          <w:bCs/>
          <w:color w:val="000000" w:themeColor="text1"/>
          <w:sz w:val="32"/>
          <w:szCs w:val="32"/>
          <w14:textFill>
            <w14:solidFill>
              <w14:schemeClr w14:val="tx1"/>
            </w14:solidFill>
          </w14:textFill>
        </w:rPr>
        <w:t>四、严守国土空间安全底线</w:t>
      </w:r>
    </w:p>
    <w:p w14:paraId="58042F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（一）优先划定永久基本农田</w:t>
      </w:r>
    </w:p>
    <w:p w14:paraId="3393AD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落实耕地和永久基本农田保护任务。到2035年，镇域耕地保有量不低于1459.33公顷（21889.95亩），永久基本农田保护任务不低于1173.70公顷（17605.50亩）。</w:t>
      </w:r>
    </w:p>
    <w:p w14:paraId="436704D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（二）落实生态保护红线</w:t>
      </w:r>
    </w:p>
    <w:p w14:paraId="62318B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落实上位规划，王村镇不涉及生态保护红线。</w:t>
      </w:r>
    </w:p>
    <w:p w14:paraId="21B2BD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（三）合理划定城镇开发边界</w:t>
      </w:r>
    </w:p>
    <w:p w14:paraId="6122EC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落实上位规划要求，到2035年，全镇城镇开发边界面积控制在754.00公顷，占全镇域面积的12.86%。至2035年，边界内新增城镇建设用地面积119.29公顷，为镇域现状城镇建设用地的0.38倍，城镇开发边界扩展倍数1.38。在城镇开发边界内建设，实行“详细规划+规划许可”的管制方式，并加强与水体保护线、绿地系统线、基础设施建设控制线、历史文化保护线等控制线的协同管控。城镇开发边界外不得进行城镇集中建设,不得设立各类开发区，严格控制政府投资的城镇基础设施资金投入。</w:t>
      </w:r>
    </w:p>
    <w:p w14:paraId="13D187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color w:val="000000" w:themeColor="text1"/>
          <w:sz w:val="32"/>
          <w:szCs w:val="32"/>
          <w14:textFill>
            <w14:solidFill>
              <w14:schemeClr w14:val="tx1"/>
            </w14:solidFill>
          </w14:textFill>
        </w:rPr>
      </w:pPr>
      <w:r>
        <w:rPr>
          <w:rFonts w:hint="default" w:ascii="Times New Roman" w:hAnsi="Times New Roman" w:eastAsia="黑体" w:cs="Times New Roman"/>
          <w:b w:val="0"/>
          <w:bCs/>
          <w:color w:val="000000" w:themeColor="text1"/>
          <w:sz w:val="32"/>
          <w:szCs w:val="32"/>
          <w14:textFill>
            <w14:solidFill>
              <w14:schemeClr w14:val="tx1"/>
            </w14:solidFill>
          </w14:textFill>
        </w:rPr>
        <w:t>五、优化国土空间总体格局</w:t>
      </w:r>
    </w:p>
    <w:p w14:paraId="684113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以经十路东延为契机，对接齐鲁科创大走廊打造济淄同城化的桥头堡，构筑“西城中农东生态，三轴两核多节点”的国土空间开发保护总体格局。尊重自然资源本底，形成西部城镇发展区、中部特色农业发展区、东部生态发展区的三区格局。城镇综合服务中心和新材料产业发展中心“园区镇区”产城联动，成为城镇发展的核心。凤凰山田园综合体和葫芦山郊野公园等共筑乡村振兴的发展核心。同时以轴带点，以齐鲁科创大走廊发展轴线、济淄大道发展轴线、309国道发展轴线三条发展轴线带动李家疃村、万家村等传统村落人文节点，王耐、节能环保产业园等产业节点，彭东、道开等居住节点和彭东现代农业示范园等农业节点“多节点”的发展。</w:t>
      </w:r>
    </w:p>
    <w:p w14:paraId="239EB6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color w:val="000000" w:themeColor="text1"/>
          <w:sz w:val="32"/>
          <w:szCs w:val="32"/>
          <w14:textFill>
            <w14:solidFill>
              <w14:schemeClr w14:val="tx1"/>
            </w14:solidFill>
          </w14:textFill>
        </w:rPr>
      </w:pPr>
      <w:r>
        <w:rPr>
          <w:rFonts w:hint="default" w:ascii="Times New Roman" w:hAnsi="Times New Roman" w:eastAsia="黑体" w:cs="Times New Roman"/>
          <w:b w:val="0"/>
          <w:bCs/>
          <w:color w:val="000000" w:themeColor="text1"/>
          <w:sz w:val="32"/>
          <w:szCs w:val="32"/>
          <w14:textFill>
            <w14:solidFill>
              <w14:schemeClr w14:val="tx1"/>
            </w14:solidFill>
          </w14:textFill>
        </w:rPr>
        <w:t>六、国土空间规划分区与用途管制</w:t>
      </w:r>
    </w:p>
    <w:p w14:paraId="1ACF87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结合国土空间开发保护格局，按照全覆盖、不交叉、不重叠的原则，对全域进行规划分区，乡村发展区细化至二级规划分区。全域国土空间划分为生态控制区、农田保护区、城镇发展区、乡村发展区4类一级分区，乡村发展区分为村庄建设区、一般农业区和林业发展区3类二级分区，实现全域覆盖。城镇开发边界内划分为居住生活区、综合服务区、商业商务区、工业发展区、物流仓储区、绿地休闲区6类。</w:t>
      </w:r>
    </w:p>
    <w:p w14:paraId="268F73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color w:val="000000" w:themeColor="text1"/>
          <w:sz w:val="32"/>
          <w:szCs w:val="32"/>
          <w14:textFill>
            <w14:solidFill>
              <w14:schemeClr w14:val="tx1"/>
            </w14:solidFill>
          </w14:textFill>
        </w:rPr>
      </w:pPr>
      <w:r>
        <w:rPr>
          <w:rFonts w:hint="default" w:ascii="Times New Roman" w:hAnsi="Times New Roman" w:eastAsia="黑体" w:cs="Times New Roman"/>
          <w:b w:val="0"/>
          <w:bCs/>
          <w:color w:val="000000" w:themeColor="text1"/>
          <w:sz w:val="32"/>
          <w:szCs w:val="32"/>
          <w14:textFill>
            <w14:solidFill>
              <w14:schemeClr w14:val="tx1"/>
            </w14:solidFill>
          </w14:textFill>
        </w:rPr>
        <w:t>七、加强自然资源保护和利用</w:t>
      </w:r>
    </w:p>
    <w:p w14:paraId="686021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（一）农业空间保护和利用</w:t>
      </w:r>
    </w:p>
    <w:p w14:paraId="4AF888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严守耕地数量底线，筑牢粮食安全基石，落实耕地占补平衡、进出平衡，加强质量建设，提高耕地综合生产能力，推进耕地生态建设，提高耕地安全利用率，健全保护机制创新保护方式。重点保护好优质耕地，实施耕地质量提升行动。保障优质耕地，重点开展耕地综合治理、土壤肥力保护提升、建设占用耕地耕作层土壤剥离利用行动。整合零散地块，提高耕地集中连片度，推进粮食生产区域化、专业化。</w:t>
      </w:r>
    </w:p>
    <w:p w14:paraId="3B9EEE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（二）生态空间保护和利用</w:t>
      </w:r>
    </w:p>
    <w:p w14:paraId="5B3130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区域交通生态缓冲廊道——胶济铁路生态缓冲廊道，集防风固沙、绿色景观等多项功能于一体，串联重要的生态源地、生态节点、景观节点。胶济铁路两侧宽度在200—500米之间，严控新增建设用地和开发强度，腾退污染企业。</w:t>
      </w:r>
    </w:p>
    <w:p w14:paraId="0913AE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加强林地保护与管控。对林地严格实施用途管制制度，严格限制集中连片、具备较高生态价值的林地转为非林地。实行林地分级管理，严格保护生态公益林，严禁擅自改变重点生态公益林地性质，严禁随意调整重点生态公益林地范围。严格控制占用征收生态公益林地，确因需要占用征收的，应按有关规定办理用地审核审批手续。</w:t>
      </w:r>
    </w:p>
    <w:p w14:paraId="5310F2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color w:val="000000" w:themeColor="text1"/>
          <w:sz w:val="32"/>
          <w:szCs w:val="32"/>
          <w14:textFill>
            <w14:solidFill>
              <w14:schemeClr w14:val="tx1"/>
            </w14:solidFill>
          </w14:textFill>
        </w:rPr>
      </w:pPr>
      <w:r>
        <w:rPr>
          <w:rFonts w:hint="default" w:ascii="Times New Roman" w:hAnsi="Times New Roman" w:eastAsia="黑体" w:cs="Times New Roman"/>
          <w:b w:val="0"/>
          <w:bCs/>
          <w:color w:val="000000" w:themeColor="text1"/>
          <w:sz w:val="32"/>
          <w:szCs w:val="32"/>
          <w14:textFill>
            <w14:solidFill>
              <w14:schemeClr w14:val="tx1"/>
            </w14:solidFill>
          </w14:textFill>
        </w:rPr>
        <w:t>八、建设集约高效的镇村空间格局</w:t>
      </w:r>
    </w:p>
    <w:p w14:paraId="4C386C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（一）优化镇村体系</w:t>
      </w:r>
    </w:p>
    <w:p w14:paraId="2BADAA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构建中心强化、组团集聚的网络化镇村体系，形成“一核、一心、多点”的三级镇村体系格局。规划形成以镇政府驻地为引领的王村镇乡镇级社区生活圈和以王村中心镇区、彭家村中心村为引领的社区级生活圈和行政村级社区生活圈3级社区生活圈。</w:t>
      </w:r>
    </w:p>
    <w:p w14:paraId="407B43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（二）引导村庄分类发展</w:t>
      </w:r>
    </w:p>
    <w:p w14:paraId="53D6FD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将王村镇范围内行政村分为城郊融合类、集聚提升类（存续提升类）、特色保护类、搬迁撤并类和其他五类。规划城郊融合类2个，存续提升类村庄22个，特色保护类村庄9个，搬迁撤并类村庄1个，其他包括划入城镇开发边界内村庄2个和暂不分类村庄3个。</w:t>
      </w:r>
    </w:p>
    <w:p w14:paraId="79C4FA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（三）镇村职能</w:t>
      </w:r>
    </w:p>
    <w:p w14:paraId="14DDA5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规划镇村职能分为综合服务型、产业示范型、农旅融合型、农业生产型四种村庄类型，打造差异化的特色乡村功能及项目产品类型。</w:t>
      </w:r>
    </w:p>
    <w:p w14:paraId="1616DD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（四）产业发展规划</w:t>
      </w:r>
    </w:p>
    <w:p w14:paraId="0649F5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做大做强高温（无机非金属）新材料产业，深入推进一二三产深度融合，打造乡村振兴发展新样板。按照产城融合发展理念，构建“一核、两廊、六片区”高效、协调、可持续的发展格局，实现与济南地区优势互补、错位发展，降低虹吸效应影响，聚力把王村建成山东新材料创新发展引领区、新旧动能转换示范区、济淄同城化发展先行区和产城融合样板区。为充分保障工业用地供给，王村镇城镇开发边界范围内划定工业控制线309.98公顷。</w:t>
      </w:r>
    </w:p>
    <w:p w14:paraId="5E6E1C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color w:val="000000" w:themeColor="text1"/>
          <w:sz w:val="32"/>
          <w:szCs w:val="32"/>
          <w14:textFill>
            <w14:solidFill>
              <w14:schemeClr w14:val="tx1"/>
            </w14:solidFill>
          </w14:textFill>
        </w:rPr>
      </w:pPr>
      <w:r>
        <w:rPr>
          <w:rFonts w:hint="default" w:ascii="Times New Roman" w:hAnsi="Times New Roman" w:eastAsia="黑体" w:cs="Times New Roman"/>
          <w:b w:val="0"/>
          <w:bCs/>
          <w:color w:val="000000" w:themeColor="text1"/>
          <w:sz w:val="32"/>
          <w:szCs w:val="32"/>
          <w14:textFill>
            <w14:solidFill>
              <w14:schemeClr w14:val="tx1"/>
            </w14:solidFill>
          </w14:textFill>
        </w:rPr>
        <w:t>九、城镇开发边界范围规划布局</w:t>
      </w:r>
    </w:p>
    <w:p w14:paraId="41356E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结合王村现状发展基础和济淄同城先行区的发展要求，重点发展西部中心镇区，优化公共服务设施、交通、安全设施、历史文化保护、绿地系统五大网络，提升城镇服务效能，聚焦产业协作，重点发展新材料、新能源制造重点产业链。形成“一主六片”的结构。“一主”是中心镇区，“六片”分别是中心镇区周边的戒毒所片区，山耐第二分公司王耐片区和王铝片区以及彭阳的节能环保产业园和冷链物流片区和道开居民点片区。中心镇区形成“南工北居”的空间结构，“北居”主要是中心镇区北部历史文化名镇保护区、保留现状居住用地和棚户区安置区。“南工”以宝山路以东、泉王路（济淄大道）以南的新材料产业园区为基础，结合经十路沿线产业用地，园区括界形成新的新材料产业园区。</w:t>
      </w:r>
    </w:p>
    <w:p w14:paraId="39E345D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1.居住用地</w:t>
      </w:r>
    </w:p>
    <w:p w14:paraId="5EFB8A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居住用地主要分布于中心镇区北部和道开居民点。</w:t>
      </w:r>
    </w:p>
    <w:p w14:paraId="73059C7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规划居住用地145.02公顷，占城镇开发边界范围城镇建设用地的19.26%。</w:t>
      </w:r>
    </w:p>
    <w:p w14:paraId="3950897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2.公共管理与公共服务用地</w:t>
      </w:r>
    </w:p>
    <w:p w14:paraId="61B5E3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规划公共管理与公共服务设施用地面积17.67公顷，主要是沿兴华街、济淄大道现状用地，规划沿济淄大道布置文化和体育用地，占城镇开发边界范围城镇建设用地的2.35%。</w:t>
      </w:r>
    </w:p>
    <w:p w14:paraId="19DE221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3.商业服务业用地</w:t>
      </w:r>
    </w:p>
    <w:p w14:paraId="79CDD4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主要沿兴华街和济淄大道保留与新增商业用地。</w:t>
      </w:r>
    </w:p>
    <w:p w14:paraId="6854483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规划商业服务业用地20.45公顷，占城镇开发边界范围城镇建设用地的2.72%。</w:t>
      </w:r>
    </w:p>
    <w:p w14:paraId="0462F27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4.工矿用地</w:t>
      </w:r>
    </w:p>
    <w:p w14:paraId="62FDB2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优化工业用地布局，规划工业用地向园区集中。</w:t>
      </w:r>
    </w:p>
    <w:p w14:paraId="39B2D3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规划工矿用地面积365.75公顷，占城镇开发边界范围城镇建设用地的48.58%。</w:t>
      </w:r>
    </w:p>
    <w:p w14:paraId="1C6C397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5.仓储用地</w:t>
      </w:r>
    </w:p>
    <w:p w14:paraId="7EE4B2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规划物流仓储用地面积18.27公顷，占城镇开发边界范围城镇建设用地的2.43%。</w:t>
      </w:r>
    </w:p>
    <w:p w14:paraId="269A8AF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6.交通运输用地</w:t>
      </w:r>
    </w:p>
    <w:p w14:paraId="11D244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完善各级路网建设，提升路网密度，补齐静态交通设施短板，留足交通发展空间，从土地资源层面保障交通运输用地。</w:t>
      </w:r>
    </w:p>
    <w:p w14:paraId="4A9ADE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规划交通运输用地面积113.96公顷，占城镇开发边界范围城镇建设用地的15.13%。</w:t>
      </w:r>
    </w:p>
    <w:p w14:paraId="325F8BE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7.公用设施用地</w:t>
      </w:r>
    </w:p>
    <w:p w14:paraId="168784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加强供电、供水等城市生命线工程设施的建设，保障能源设施用地布局。</w:t>
      </w:r>
    </w:p>
    <w:p w14:paraId="67DFAE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规划公用设施用地面积3.43公顷，占城镇开发边界范围城镇建设用地的0.46%。</w:t>
      </w:r>
    </w:p>
    <w:p w14:paraId="0B31391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8.绿地与开敞空间用地</w:t>
      </w:r>
    </w:p>
    <w:p w14:paraId="7A682B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优化各类公共绿地，建立各级绿地完善的绿地系统，建设全域公园城市，提升城市品质。</w:t>
      </w:r>
    </w:p>
    <w:p w14:paraId="095DA3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规划绿地与开敞空间用地面积32.71公顷，占城镇开发边界范围城镇建设用地的4.34%。</w:t>
      </w:r>
    </w:p>
    <w:p w14:paraId="685B853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9.特殊用地</w:t>
      </w:r>
    </w:p>
    <w:p w14:paraId="1A13A4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特殊用地主要为监教场所用地和文物古迹用地。规划特殊用地面积35.71公顷，占城镇开发边界范围城镇建设用地的4.74%。</w:t>
      </w:r>
    </w:p>
    <w:p w14:paraId="7E9491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color w:val="000000" w:themeColor="text1"/>
          <w:sz w:val="32"/>
          <w:szCs w:val="32"/>
          <w14:textFill>
            <w14:solidFill>
              <w14:schemeClr w14:val="tx1"/>
            </w14:solidFill>
          </w14:textFill>
        </w:rPr>
      </w:pPr>
      <w:r>
        <w:rPr>
          <w:rFonts w:hint="default" w:ascii="Times New Roman" w:hAnsi="Times New Roman" w:eastAsia="黑体" w:cs="Times New Roman"/>
          <w:b w:val="0"/>
          <w:bCs/>
          <w:color w:val="000000" w:themeColor="text1"/>
          <w:sz w:val="32"/>
          <w:szCs w:val="32"/>
          <w14:textFill>
            <w14:solidFill>
              <w14:schemeClr w14:val="tx1"/>
            </w14:solidFill>
          </w14:textFill>
        </w:rPr>
        <w:t>十、强化历史文化保护</w:t>
      </w:r>
    </w:p>
    <w:p w14:paraId="2499B5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（一）历史文化保护目标</w:t>
      </w:r>
    </w:p>
    <w:p w14:paraId="37CE9D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1.保持王村镇现存的历史风貌，保护现有镇域范围内留存的历史信息，保持传统的街巷、河道空间尺度与景观特征。</w:t>
      </w:r>
    </w:p>
    <w:p w14:paraId="0C7F06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2.在保护王村镇历史文化遗产的前提下有序更新，改善环境，提高居民生活质量。</w:t>
      </w:r>
    </w:p>
    <w:p w14:paraId="003BC6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3.发挥优势，突出王村镇历史特色，充分利用现存的历史、人文资源，发展城市文化，综合开发旅游资源，推动王村镇的经济发展。</w:t>
      </w:r>
    </w:p>
    <w:p w14:paraId="1038AF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（二）历史文化保护内容</w:t>
      </w:r>
    </w:p>
    <w:p w14:paraId="69A507D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1.历史文化名镇</w:t>
      </w:r>
    </w:p>
    <w:p w14:paraId="7B29ED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在历史文化名镇核心保护范围内，不得进行新建、扩建活动。新建、扩建必要的基础设施和公共服务设施除外。</w:t>
      </w:r>
    </w:p>
    <w:p w14:paraId="1289D86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2.历史文化名村和传统村落</w:t>
      </w:r>
    </w:p>
    <w:p w14:paraId="4D3F3C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保护中国历史文化名村1个，1个省级历史文化名村，中国传统村落2个，山东省传统村落8个。</w:t>
      </w:r>
    </w:p>
    <w:p w14:paraId="0E0037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规划保护和延续村落整体格局和历史风貌，采用多种方式传承历史文化内涵，延续传统风貌，科学处理保护与发展的关系。重点保护村落内的文物古迹，传统民居建筑。核心保护范围内不得进行新建与保护需要无关的附属设施、建筑物和构筑物。</w:t>
      </w:r>
    </w:p>
    <w:p w14:paraId="396A0D7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3.文物保护单位</w:t>
      </w:r>
    </w:p>
    <w:p w14:paraId="34926A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王村镇省级文物保护单位8处，市级文物保护单位7处，区级文物保护单位12处，尚未核定公布为文物保护单位的不可移动文物5处，共计32处。</w:t>
      </w:r>
    </w:p>
    <w:p w14:paraId="700FE1B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4.历史建筑</w:t>
      </w:r>
    </w:p>
    <w:p w14:paraId="2C5338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重点保护历史建筑共1处，为王村醋办公楼。历史建筑应设置保护标志，建立科学的记录档案。历史建筑的核心保护范围内，不得新建与保护需要无关的附属设施、建筑物和构筑物。</w:t>
      </w:r>
    </w:p>
    <w:p w14:paraId="0FBA762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5.古树名木</w:t>
      </w:r>
    </w:p>
    <w:p w14:paraId="7F5331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王村镇共有18棵古树名木，包括一级古树名木2棵，二级古树名木1棵，三级古树名木15棵。严禁损害古树名木的行为；任何单位和个人不得以任何理由、任何方式砍伐或擅自移植古树名木。</w:t>
      </w:r>
    </w:p>
    <w:p w14:paraId="35AB30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统筹划定文物保护单位保护范围和建设控制地带、城市紫线等各类历史文化保护范围边界，纳入国土空间规划“一张图”，实施严格保护。</w:t>
      </w:r>
    </w:p>
    <w:p w14:paraId="038227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（三）历史文化名镇保护规划编制要求</w:t>
      </w:r>
    </w:p>
    <w:p w14:paraId="3343AC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1.应当保护历史文化遗产及其历史环境，保护和延续传统格局和风貌，继承和弘扬民族与地方优秀传统文化。</w:t>
      </w:r>
    </w:p>
    <w:p w14:paraId="464299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2.应当以科学发展观为指导，遵循保护遗产本体及环境的真实性、完整性和保护利用的可持续性的原则，保护历史文化遗产，改善人居环境，促进经济社会协调发展。</w:t>
      </w:r>
    </w:p>
    <w:p w14:paraId="040389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3.应当坚持保护为主、合理利用、改善环境、有效管理的指导思想。</w:t>
      </w:r>
    </w:p>
    <w:p w14:paraId="16C50DA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4.应当进行科学论证，并广泛征求有关部门、专家和公众的意见。</w:t>
      </w:r>
    </w:p>
    <w:p w14:paraId="20A9CA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000000" w:themeColor="text1"/>
          <w:sz w:val="32"/>
          <w:szCs w:val="32"/>
          <w14:textFill>
            <w14:solidFill>
              <w14:schemeClr w14:val="tx1"/>
            </w14:solidFill>
          </w14:textFill>
        </w:rPr>
      </w:pPr>
      <w:r>
        <w:rPr>
          <w:rFonts w:hint="default" w:ascii="Times New Roman" w:hAnsi="Times New Roman" w:eastAsia="黑体" w:cs="Times New Roman"/>
          <w:b w:val="0"/>
          <w:bCs/>
          <w:color w:val="000000" w:themeColor="text1"/>
          <w:sz w:val="32"/>
          <w:szCs w:val="32"/>
          <w14:textFill>
            <w14:solidFill>
              <w14:schemeClr w14:val="tx1"/>
            </w14:solidFill>
          </w14:textFill>
        </w:rPr>
        <w:t>十一、蓝绿空间组织和城镇风貌引导</w:t>
      </w:r>
    </w:p>
    <w:p w14:paraId="2CBC6DF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（一）蓝绿空间组织</w:t>
      </w:r>
    </w:p>
    <w:p w14:paraId="53D380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结合现状丰富的山水田园和历史人文景观资源，构建“一带两核、六园多点”的景观结构，同时加强两核心与文昌湖省级旅游度假区的互动，整体塑造“山水古韵、双心拥簇”的景观风貌，彰显名镇名村的独特文化魅力。</w:t>
      </w:r>
    </w:p>
    <w:p w14:paraId="74081E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（二）城镇风貌引导</w:t>
      </w:r>
    </w:p>
    <w:p w14:paraId="768FEE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构建“山、水、林、田、文、产”融合的总体格局，形成“一核三带四片区多节点”整体风貌结构。镇区传统风貌区将片区内历史建筑较为集中、街巷尺度适宜、地方传统空间特色明显的街巷确定为风貌保护街巷重点保护。现代产业风貌区对接齐鲁科创大走廊，打造济淄同城化的桥头堡，体现现代城镇形象，以自然、人文、建筑等元素整体打造简洁、大气、具有时代活力的风貌特色。</w:t>
      </w:r>
    </w:p>
    <w:p w14:paraId="0AB628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color w:val="000000" w:themeColor="text1"/>
          <w:sz w:val="32"/>
          <w:szCs w:val="32"/>
          <w14:textFill>
            <w14:solidFill>
              <w14:schemeClr w14:val="tx1"/>
            </w14:solidFill>
          </w14:textFill>
        </w:rPr>
      </w:pPr>
      <w:r>
        <w:rPr>
          <w:rFonts w:hint="default" w:ascii="Times New Roman" w:hAnsi="Times New Roman" w:eastAsia="黑体" w:cs="Times New Roman"/>
          <w:b w:val="0"/>
          <w:bCs/>
          <w:color w:val="000000" w:themeColor="text1"/>
          <w:sz w:val="32"/>
          <w:szCs w:val="32"/>
          <w14:textFill>
            <w14:solidFill>
              <w14:schemeClr w14:val="tx1"/>
            </w14:solidFill>
          </w14:textFill>
        </w:rPr>
        <w:t>十一、完善基础支撑体系</w:t>
      </w:r>
    </w:p>
    <w:p w14:paraId="0941CA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（一）构建绿色集约的综合交通体系</w:t>
      </w:r>
    </w:p>
    <w:p w14:paraId="3BF926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规划形成“结构完善、便捷通畅、功能明确、级配合理”的综合交通系统。以济淄同城化先行区为基础，加强济淄规划衔接，做好与济南城区、章丘、邹平高效互联互通，共同构建“1小时通勤圈”。落实上位规划路网体系，102省道、济淄大道、309国道、胶王路等连通周村城区、文昌湖省级旅游度假区、淄博经济开发区及淄川区。510省道改线，连通济潍高速。</w:t>
      </w:r>
    </w:p>
    <w:p w14:paraId="6034FB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王村镇路网将形成“棋盘放射式路网”的基本形态，实现镇区与城区组团通过国道、省道、城镇干道多层衔接路网格局，形成“一国道、三省道、六城镇主干路”的路网结构。国道：309国道。省道：102省道、509省道、510省道。六城镇主干路：济淄大道、西环路、聚源路、宝山路、兴华路和彭双路-彭萌路。</w:t>
      </w:r>
    </w:p>
    <w:p w14:paraId="6BAF29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（二）打造优质均衡的公共服务体系</w:t>
      </w:r>
    </w:p>
    <w:p w14:paraId="39E7238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公共服务设施配置体系分为乡镇级—社区级—行政村级三个生活圈层级。</w:t>
      </w:r>
    </w:p>
    <w:p w14:paraId="734A33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乡镇层级生活圈：以镇区为依托，以镇域为界限，统筹布局满足居民、村民日常生活、生产需求的各类服务要素。按照《社区生活圈技术指南》（TD/T1062-2021）和《山东省社区生活圈规划技术导则》（试行）中“乡村‘乡镇层级’社区生活圈”设置教育设施、医疗设施、养老设施、文化设施和社会福利设施等。</w:t>
      </w:r>
    </w:p>
    <w:p w14:paraId="009476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社区层级生活圈：按照《山东省社区生活圈规划技术导则》（试行）中“乡村‘社区层级’社区生活圈”设置相关公共服务设施，并且应做到与项目同步供地、同步规划、同步建设、同步验收、同步交付,引导这一级生活圈的公共设施配置，优化配置标准，满足均等化需求；鼓励提升型设施配置，体现新时期中、高端和特色化需求。</w:t>
      </w:r>
    </w:p>
    <w:p w14:paraId="5A96AA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行政村层级生活圈：按照《山东省社区生活圈规划技术导则》（试行）中“乡村‘行政村层级’社区生活圈”设置相关公共服务设施。满足居民最基本需求的村委会、文化大院、健身场地、卫生室、养老设施、便民超市等。</w:t>
      </w:r>
    </w:p>
    <w:p w14:paraId="611869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（三）提升基础设施支撑保障体系</w:t>
      </w:r>
    </w:p>
    <w:p w14:paraId="008556B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构建安全清洁的饮用水保障体系，推进污水处理工程建设，完善雨水处理与利用系统，整治提升电力通信设施，优化城乡环卫设施，加快燃气热力设施建设，健全公共安全保障体系。</w:t>
      </w:r>
    </w:p>
    <w:p w14:paraId="165BF0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color w:val="000000" w:themeColor="text1"/>
          <w:sz w:val="32"/>
          <w:szCs w:val="32"/>
          <w14:textFill>
            <w14:solidFill>
              <w14:schemeClr w14:val="tx1"/>
            </w14:solidFill>
          </w14:textFill>
        </w:rPr>
      </w:pPr>
      <w:r>
        <w:rPr>
          <w:rFonts w:hint="default" w:ascii="Times New Roman" w:hAnsi="Times New Roman" w:eastAsia="黑体" w:cs="Times New Roman"/>
          <w:b w:val="0"/>
          <w:bCs/>
          <w:color w:val="000000" w:themeColor="text1"/>
          <w:sz w:val="32"/>
          <w:szCs w:val="32"/>
          <w14:textFill>
            <w14:solidFill>
              <w14:schemeClr w14:val="tx1"/>
            </w14:solidFill>
          </w14:textFill>
        </w:rPr>
        <w:t>十二、国土整治修复</w:t>
      </w:r>
    </w:p>
    <w:p w14:paraId="602E4E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（一）推进国土综合整治</w:t>
      </w:r>
    </w:p>
    <w:p w14:paraId="6B7C2A2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持续推进高标准农田建设，开展宜耕后备资源开发整理，耕地质量提升，有序推进建设用地复垦工作，农村低效、闲置与违法用地整理、农村宅基地整理、城镇低效用地整理及工矿废弃地整理。</w:t>
      </w:r>
    </w:p>
    <w:p w14:paraId="1569ED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（二）强化生态整治与修复</w:t>
      </w:r>
    </w:p>
    <w:p w14:paraId="1BD9ED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山水林田湖草保护修复工程，土地资源节约、保护与利用，水资源节约、保护与利用，推进废弃矿山修复利用。对玉带河、青杨河等重点区域开展保护性生态修复；切实保护，加强对工业污染面源、农业污染面源和生活污水的治理。</w:t>
      </w:r>
    </w:p>
    <w:p w14:paraId="1266DB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color w:val="000000" w:themeColor="text1"/>
          <w:sz w:val="32"/>
          <w:szCs w:val="32"/>
          <w14:textFill>
            <w14:solidFill>
              <w14:schemeClr w14:val="tx1"/>
            </w14:solidFill>
          </w14:textFill>
        </w:rPr>
      </w:pPr>
      <w:r>
        <w:rPr>
          <w:rFonts w:hint="default" w:ascii="Times New Roman" w:hAnsi="Times New Roman" w:eastAsia="黑体" w:cs="Times New Roman"/>
          <w:b w:val="0"/>
          <w:bCs/>
          <w:color w:val="000000" w:themeColor="text1"/>
          <w:sz w:val="32"/>
          <w:szCs w:val="32"/>
          <w14:textFill>
            <w14:solidFill>
              <w14:schemeClr w14:val="tx1"/>
            </w14:solidFill>
          </w14:textFill>
        </w:rPr>
        <w:t>十三、规划传导与实施保障</w:t>
      </w:r>
    </w:p>
    <w:p w14:paraId="0EEE03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落实国土空间规划“三类”体系建设要求，根据城镇开发边界内建设用地布局情况，划定详细规划单元，建立单元规划指标统筹传导机制；按照村庄分类要求，指引城镇开发边界外村庄国土空间发展与规划，对村庄规划的耕地保护、生态保护、村庄建设、基础设施和公共服务设施完善、历史文化保护等方面提出指引。</w:t>
      </w:r>
    </w:p>
    <w:p w14:paraId="5BF5CD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color w:val="000000" w:themeColor="text1"/>
          <w:sz w:val="32"/>
          <w:szCs w:val="32"/>
          <w14:textFill>
            <w14:solidFill>
              <w14:schemeClr w14:val="tx1"/>
            </w14:solidFill>
          </w14:textFill>
        </w:rPr>
      </w:pPr>
      <w:r>
        <w:rPr>
          <w:rFonts w:hint="default" w:ascii="Times New Roman" w:hAnsi="Times New Roman" w:eastAsia="黑体" w:cs="Times New Roman"/>
          <w:b w:val="0"/>
          <w:bCs/>
          <w:color w:val="000000" w:themeColor="text1"/>
          <w:sz w:val="32"/>
          <w:szCs w:val="32"/>
          <w14:textFill>
            <w14:solidFill>
              <w14:schemeClr w14:val="tx1"/>
            </w14:solidFill>
          </w14:textFill>
        </w:rPr>
        <w:t>十四、主要图纸</w:t>
      </w:r>
    </w:p>
    <w:p w14:paraId="7FE6D6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国土空间控制线规划图</w:t>
      </w:r>
    </w:p>
    <w:p w14:paraId="55B335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国土空间</w:t>
      </w:r>
      <w:bookmarkStart w:id="0" w:name="_GoBack"/>
      <w:r>
        <w:rPr>
          <w:rFonts w:hint="default" w:ascii="Times New Roman" w:hAnsi="Times New Roman" w:eastAsia="仿宋_GB2312" w:cs="Times New Roman"/>
          <w:color w:val="000000" w:themeColor="text1"/>
          <w:sz w:val="32"/>
          <w:szCs w:val="32"/>
          <w14:textFill>
            <w14:solidFill>
              <w14:schemeClr w14:val="tx1"/>
            </w14:solidFill>
          </w14:textFill>
        </w:rPr>
        <w:t>总体</w:t>
      </w:r>
      <w:bookmarkEnd w:id="0"/>
      <w:r>
        <w:rPr>
          <w:rFonts w:hint="default" w:ascii="Times New Roman" w:hAnsi="Times New Roman" w:eastAsia="仿宋_GB2312" w:cs="Times New Roman"/>
          <w:color w:val="000000" w:themeColor="text1"/>
          <w:sz w:val="32"/>
          <w:szCs w:val="32"/>
          <w14:textFill>
            <w14:solidFill>
              <w14:schemeClr w14:val="tx1"/>
            </w14:solidFill>
          </w14:textFill>
        </w:rPr>
        <w:t>格局规划图</w:t>
      </w:r>
    </w:p>
    <w:p w14:paraId="572199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国土空间规划分区图</w:t>
      </w:r>
    </w:p>
    <w:p w14:paraId="3F014D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国土空间用地布局规划图</w:t>
      </w:r>
    </w:p>
    <w:p w14:paraId="300C96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5</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综合交通规划图</w:t>
      </w:r>
    </w:p>
    <w:p w14:paraId="6DF7558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6</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城镇开发边界范围国土空间用地规划图</w:t>
      </w:r>
    </w:p>
    <w:p w14:paraId="449883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2A00F5F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br w:type="page"/>
      </w:r>
    </w:p>
    <w:p w14:paraId="01E7F3D3">
      <w:pPr>
        <w:ind w:firstLine="560" w:firstLineChars="200"/>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drawing>
          <wp:anchor distT="0" distB="0" distL="114300" distR="114300" simplePos="0" relativeHeight="251659264" behindDoc="0" locked="0" layoutInCell="1" allowOverlap="1">
            <wp:simplePos x="0" y="0"/>
            <wp:positionH relativeFrom="margin">
              <wp:align>left</wp:align>
            </wp:positionH>
            <wp:positionV relativeFrom="paragraph">
              <wp:posOffset>4175125</wp:posOffset>
            </wp:positionV>
            <wp:extent cx="5471795" cy="3872230"/>
            <wp:effectExtent l="0" t="0" r="0" b="0"/>
            <wp:wrapTopAndBottom/>
            <wp:docPr id="1" name="图片 1" descr="D:\工作\2023\03-王村国空\04-规划方案\24.7专家论证会后修改\03-图件JPG\03-示意型图件\SY01-国土空间总体格局规划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工作\2023\03-王村国空\04-规划方案\24.7专家论证会后修改\03-图件JPG\03-示意型图件\SY01-国土空间总体格局规划图.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471795" cy="3872230"/>
                    </a:xfrm>
                    <a:prstGeom prst="rect">
                      <a:avLst/>
                    </a:prstGeom>
                    <a:noFill/>
                    <a:ln>
                      <a:noFill/>
                    </a:ln>
                  </pic:spPr>
                </pic:pic>
              </a:graphicData>
            </a:graphic>
          </wp:anchor>
        </w:drawing>
      </w:r>
      <w:r>
        <w:rPr>
          <w:rFonts w:ascii="Times New Roman" w:hAnsi="Times New Roman" w:eastAsia="仿宋_GB2312" w:cs="Times New Roman"/>
          <w:color w:val="000000" w:themeColor="text1"/>
          <w:sz w:val="28"/>
          <w:szCs w:val="28"/>
          <w14:textFill>
            <w14:solidFill>
              <w14:schemeClr w14:val="tx1"/>
            </w14:solidFill>
          </w14:textFill>
        </w:rPr>
        <w:drawing>
          <wp:anchor distT="0" distB="0" distL="114300" distR="114300" simplePos="0" relativeHeight="251660288" behindDoc="0" locked="0" layoutInCell="1" allowOverlap="1">
            <wp:simplePos x="0" y="0"/>
            <wp:positionH relativeFrom="margin">
              <wp:align>left</wp:align>
            </wp:positionH>
            <wp:positionV relativeFrom="paragraph">
              <wp:posOffset>94615</wp:posOffset>
            </wp:positionV>
            <wp:extent cx="5471795" cy="3872230"/>
            <wp:effectExtent l="0" t="0" r="0" b="0"/>
            <wp:wrapTopAndBottom/>
            <wp:docPr id="2" name="图片 2" descr="D:\工作\2023\03-王村国空\04-规划方案\24.7专家论证会后修改\03-图件JPG\02-管控型图件\GK01-国土空间控制线规划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工作\2023\03-王村国空\04-规划方案\24.7专家论证会后修改\03-图件JPG\02-管控型图件\GK01-国土空间控制线规划图.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471795" cy="3872230"/>
                    </a:xfrm>
                    <a:prstGeom prst="rect">
                      <a:avLst/>
                    </a:prstGeom>
                    <a:noFill/>
                    <a:ln>
                      <a:noFill/>
                    </a:ln>
                  </pic:spPr>
                </pic:pic>
              </a:graphicData>
            </a:graphic>
          </wp:anchor>
        </w:drawing>
      </w:r>
    </w:p>
    <w:p w14:paraId="3B003030">
      <w:pPr>
        <w:ind w:firstLine="560" w:firstLineChars="200"/>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drawing>
          <wp:anchor distT="0" distB="0" distL="114300" distR="114300" simplePos="0" relativeHeight="251662336" behindDoc="0" locked="0" layoutInCell="1" allowOverlap="1">
            <wp:simplePos x="0" y="0"/>
            <wp:positionH relativeFrom="margin">
              <wp:align>left</wp:align>
            </wp:positionH>
            <wp:positionV relativeFrom="paragraph">
              <wp:posOffset>3968750</wp:posOffset>
            </wp:positionV>
            <wp:extent cx="5479415" cy="3877310"/>
            <wp:effectExtent l="0" t="0" r="6985" b="8890"/>
            <wp:wrapTopAndBottom/>
            <wp:docPr id="4" name="图片 4" descr="D:\工作\2023\03-王村国空\04-规划方案\24.7专家论证会后修改\03-图件JPG\02-管控型图件\GK10-国土空间用地规划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工作\2023\03-王村国空\04-规划方案\24.7专家论证会后修改\03-图件JPG\02-管控型图件\GK10-国土空间用地规划图.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479415" cy="3877310"/>
                    </a:xfrm>
                    <a:prstGeom prst="rect">
                      <a:avLst/>
                    </a:prstGeom>
                    <a:noFill/>
                    <a:ln>
                      <a:noFill/>
                    </a:ln>
                  </pic:spPr>
                </pic:pic>
              </a:graphicData>
            </a:graphic>
          </wp:anchor>
        </w:drawing>
      </w:r>
      <w:r>
        <w:rPr>
          <w:rFonts w:ascii="Times New Roman" w:hAnsi="Times New Roman" w:eastAsia="仿宋_GB2312" w:cs="Times New Roman"/>
          <w:color w:val="000000" w:themeColor="text1"/>
          <w:sz w:val="28"/>
          <w:szCs w:val="28"/>
          <w14:textFill>
            <w14:solidFill>
              <w14:schemeClr w14:val="tx1"/>
            </w14:solidFill>
          </w14:textFill>
        </w:rPr>
        <w:drawing>
          <wp:anchor distT="0" distB="0" distL="114300" distR="114300" simplePos="0" relativeHeight="251661312" behindDoc="0" locked="0" layoutInCell="1" allowOverlap="1">
            <wp:simplePos x="0" y="0"/>
            <wp:positionH relativeFrom="margin">
              <wp:align>left</wp:align>
            </wp:positionH>
            <wp:positionV relativeFrom="paragraph">
              <wp:posOffset>0</wp:posOffset>
            </wp:positionV>
            <wp:extent cx="5471795" cy="3872230"/>
            <wp:effectExtent l="0" t="0" r="0" b="0"/>
            <wp:wrapTopAndBottom/>
            <wp:docPr id="3" name="图片 3" descr="D:\工作\2023\03-王村国空\04-规划方案\24.7专家论证会后修改\03-图件JPG\02-管控型图件\GK09-国土空间规划分区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工作\2023\03-王村国空\04-规划方案\24.7专家论证会后修改\03-图件JPG\02-管控型图件\GK09-国土空间规划分区图.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471795" cy="3872230"/>
                    </a:xfrm>
                    <a:prstGeom prst="rect">
                      <a:avLst/>
                    </a:prstGeom>
                    <a:noFill/>
                    <a:ln>
                      <a:noFill/>
                    </a:ln>
                  </pic:spPr>
                </pic:pic>
              </a:graphicData>
            </a:graphic>
          </wp:anchor>
        </w:drawing>
      </w:r>
    </w:p>
    <w:p w14:paraId="11457B21">
      <w:pPr>
        <w:ind w:firstLine="560" w:firstLineChars="200"/>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drawing>
          <wp:anchor distT="0" distB="0" distL="114300" distR="114300" simplePos="0" relativeHeight="251664384" behindDoc="0" locked="0" layoutInCell="1" allowOverlap="1">
            <wp:simplePos x="0" y="0"/>
            <wp:positionH relativeFrom="margin">
              <wp:align>left</wp:align>
            </wp:positionH>
            <wp:positionV relativeFrom="paragraph">
              <wp:posOffset>4202430</wp:posOffset>
            </wp:positionV>
            <wp:extent cx="5475605" cy="3870960"/>
            <wp:effectExtent l="0" t="0" r="0" b="0"/>
            <wp:wrapTopAndBottom/>
            <wp:docPr id="12" name="图片 12" descr="D:\工作\2023\03-王村国空\04-规划方案\24.7专家论证会后修改\03-图件JPG\02-管控型图件\GK17-城镇开发边界范围国土空间用地规划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D:\工作\2023\03-王村国空\04-规划方案\24.7专家论证会后修改\03-图件JPG\02-管控型图件\GK17-城镇开发边界范围国土空间用地规划图.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475605" cy="3870960"/>
                    </a:xfrm>
                    <a:prstGeom prst="rect">
                      <a:avLst/>
                    </a:prstGeom>
                    <a:noFill/>
                    <a:ln>
                      <a:noFill/>
                    </a:ln>
                  </pic:spPr>
                </pic:pic>
              </a:graphicData>
            </a:graphic>
          </wp:anchor>
        </w:drawing>
      </w:r>
      <w:r>
        <w:rPr>
          <w:rFonts w:ascii="Times New Roman" w:hAnsi="Times New Roman" w:eastAsia="仿宋_GB2312" w:cs="Times New Roman"/>
          <w:color w:val="000000" w:themeColor="text1"/>
          <w:sz w:val="28"/>
          <w:szCs w:val="28"/>
          <w14:textFill>
            <w14:solidFill>
              <w14:schemeClr w14:val="tx1"/>
            </w14:solidFill>
          </w14:textFill>
        </w:rPr>
        <w:drawing>
          <wp:anchor distT="0" distB="0" distL="114300" distR="114300" simplePos="0" relativeHeight="251663360" behindDoc="0" locked="0" layoutInCell="1" allowOverlap="1">
            <wp:simplePos x="0" y="0"/>
            <wp:positionH relativeFrom="margin">
              <wp:align>left</wp:align>
            </wp:positionH>
            <wp:positionV relativeFrom="paragraph">
              <wp:posOffset>141605</wp:posOffset>
            </wp:positionV>
            <wp:extent cx="5471795" cy="3872230"/>
            <wp:effectExtent l="0" t="0" r="0" b="0"/>
            <wp:wrapTopAndBottom/>
            <wp:docPr id="11" name="图片 11" descr="D:\工作\2023\03-王村国空\04-规划方案\24.7专家论证会后修改\03-图件JPG\02-管控型图件\GK05-综合交通规划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D:\工作\2023\03-王村国空\04-规划方案\24.7专家论证会后修改\03-图件JPG\02-管控型图件\GK05-综合交通规划图.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471795" cy="3872230"/>
                    </a:xfrm>
                    <a:prstGeom prst="rect">
                      <a:avLst/>
                    </a:prstGeom>
                    <a:noFill/>
                    <a:ln>
                      <a:noFill/>
                    </a:ln>
                  </pic:spPr>
                </pic:pic>
              </a:graphicData>
            </a:graphic>
          </wp:anchor>
        </w:drawing>
      </w:r>
    </w:p>
    <w:sectPr>
      <w:pgSz w:w="11906" w:h="16838"/>
      <w:pgMar w:top="2041" w:right="1531" w:bottom="170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MxZGVkMWM3ZTg4ZjcwNmE2MzBiMmVlYTA0MmYwM2MifQ=="/>
    <w:docVar w:name="KSO_WPS_MARK_KEY" w:val="a9d2d848-4fad-404f-9b03-18e33729ac10"/>
  </w:docVars>
  <w:rsids>
    <w:rsidRoot w:val="00A018F6"/>
    <w:rsid w:val="00063D7C"/>
    <w:rsid w:val="00092961"/>
    <w:rsid w:val="000D030A"/>
    <w:rsid w:val="000F502E"/>
    <w:rsid w:val="001505CB"/>
    <w:rsid w:val="00176323"/>
    <w:rsid w:val="001A0007"/>
    <w:rsid w:val="001A32EA"/>
    <w:rsid w:val="001C7E88"/>
    <w:rsid w:val="0020214B"/>
    <w:rsid w:val="00335F78"/>
    <w:rsid w:val="00350853"/>
    <w:rsid w:val="00376BC4"/>
    <w:rsid w:val="003958D4"/>
    <w:rsid w:val="00454F6A"/>
    <w:rsid w:val="004709B4"/>
    <w:rsid w:val="004779F2"/>
    <w:rsid w:val="004A2EDB"/>
    <w:rsid w:val="004A5678"/>
    <w:rsid w:val="004B4A4E"/>
    <w:rsid w:val="004D4565"/>
    <w:rsid w:val="004D5029"/>
    <w:rsid w:val="004F2F32"/>
    <w:rsid w:val="00504DD3"/>
    <w:rsid w:val="00594744"/>
    <w:rsid w:val="005C0B57"/>
    <w:rsid w:val="005E0F5B"/>
    <w:rsid w:val="005F78D0"/>
    <w:rsid w:val="00620B44"/>
    <w:rsid w:val="00623574"/>
    <w:rsid w:val="00624CC9"/>
    <w:rsid w:val="0066368D"/>
    <w:rsid w:val="00716B64"/>
    <w:rsid w:val="007717FF"/>
    <w:rsid w:val="00776786"/>
    <w:rsid w:val="007817F4"/>
    <w:rsid w:val="007C0D75"/>
    <w:rsid w:val="007C7F2D"/>
    <w:rsid w:val="007E2BAC"/>
    <w:rsid w:val="007E4255"/>
    <w:rsid w:val="00862717"/>
    <w:rsid w:val="00895109"/>
    <w:rsid w:val="00895C68"/>
    <w:rsid w:val="009D629B"/>
    <w:rsid w:val="00A018F6"/>
    <w:rsid w:val="00A3460A"/>
    <w:rsid w:val="00A40FA9"/>
    <w:rsid w:val="00A97751"/>
    <w:rsid w:val="00AB64A1"/>
    <w:rsid w:val="00AD34CA"/>
    <w:rsid w:val="00B9776A"/>
    <w:rsid w:val="00BB0452"/>
    <w:rsid w:val="00BD714B"/>
    <w:rsid w:val="00BF1C6A"/>
    <w:rsid w:val="00C44CAD"/>
    <w:rsid w:val="00C5499F"/>
    <w:rsid w:val="00C63684"/>
    <w:rsid w:val="00CB1AA1"/>
    <w:rsid w:val="00CE15BB"/>
    <w:rsid w:val="00D55D73"/>
    <w:rsid w:val="00DD3F67"/>
    <w:rsid w:val="00E42628"/>
    <w:rsid w:val="00EA404B"/>
    <w:rsid w:val="00EB0846"/>
    <w:rsid w:val="00FF770A"/>
    <w:rsid w:val="039956FE"/>
    <w:rsid w:val="270871D6"/>
    <w:rsid w:val="2E74441E"/>
    <w:rsid w:val="3281717C"/>
    <w:rsid w:val="329F6A4C"/>
    <w:rsid w:val="330C5C88"/>
    <w:rsid w:val="3C523AB2"/>
    <w:rsid w:val="405238BF"/>
    <w:rsid w:val="4C6B7DCE"/>
    <w:rsid w:val="5E686EFE"/>
    <w:rsid w:val="6040487B"/>
    <w:rsid w:val="646C1B58"/>
    <w:rsid w:val="690D2E3C"/>
    <w:rsid w:val="6A036E73"/>
    <w:rsid w:val="6F607BC7"/>
    <w:rsid w:val="7E814C19"/>
    <w:rsid w:val="7FF10C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Hyperlink"/>
    <w:basedOn w:val="7"/>
    <w:semiHidden/>
    <w:unhideWhenUsed/>
    <w:qFormat/>
    <w:uiPriority w:val="99"/>
    <w:rPr>
      <w:color w:val="0000FF"/>
      <w:u w:val="single"/>
    </w:rPr>
  </w:style>
  <w:style w:type="paragraph" w:customStyle="1" w:styleId="9">
    <w:name w:val="正文1"/>
    <w:basedOn w:val="1"/>
    <w:link w:val="12"/>
    <w:qFormat/>
    <w:uiPriority w:val="0"/>
    <w:pPr>
      <w:spacing w:line="400" w:lineRule="exact"/>
      <w:ind w:firstLine="482" w:firstLineChars="200"/>
    </w:pPr>
    <w:rPr>
      <w:rFonts w:ascii="Times New Roman" w:hAnsi="Times New Roman" w:eastAsia="宋体" w:cs="Times New Roman"/>
      <w:kern w:val="0"/>
      <w:sz w:val="20"/>
      <w:szCs w:val="20"/>
      <w:shd w:val="clear" w:color="auto" w:fill="FFFFFF"/>
    </w:rPr>
  </w:style>
  <w:style w:type="character" w:customStyle="1" w:styleId="10">
    <w:name w:val="页眉 字符"/>
    <w:basedOn w:val="7"/>
    <w:link w:val="4"/>
    <w:qFormat/>
    <w:uiPriority w:val="99"/>
    <w:rPr>
      <w:sz w:val="18"/>
      <w:szCs w:val="18"/>
    </w:rPr>
  </w:style>
  <w:style w:type="character" w:customStyle="1" w:styleId="11">
    <w:name w:val="页脚 字符"/>
    <w:basedOn w:val="7"/>
    <w:link w:val="3"/>
    <w:qFormat/>
    <w:uiPriority w:val="99"/>
    <w:rPr>
      <w:sz w:val="18"/>
      <w:szCs w:val="18"/>
    </w:rPr>
  </w:style>
  <w:style w:type="character" w:customStyle="1" w:styleId="12">
    <w:name w:val="正文1 字符"/>
    <w:basedOn w:val="7"/>
    <w:link w:val="9"/>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16</Pages>
  <Words>5971</Words>
  <Characters>6277</Characters>
  <Lines>45</Lines>
  <Paragraphs>12</Paragraphs>
  <TotalTime>283</TotalTime>
  <ScaleCrop>false</ScaleCrop>
  <LinksUpToDate>false</LinksUpToDate>
  <CharactersWithSpaces>6278</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2024-07-18T08:16:00Z</dcterms:created>
  <dc:creator>f</dc:creator>
  <cp:lastModifiedBy>admin</cp:lastModifiedBy>
  <dcterms:modified xsi:type="dcterms:W3CDTF">2024-07-22T08:01:19Z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C41369BA6C1C4B27B75F7C519B89E324_13</vt:lpwstr>
  </property>
</Properties>
</file>