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 xml:space="preserve"> </w:t>
      </w:r>
      <w:r>
        <w:rPr>
          <w:rFonts w:hint="eastAsia" w:eastAsia="方正小标宋简体"/>
          <w:sz w:val="44"/>
          <w:szCs w:val="44"/>
          <w:lang w:eastAsia="zh-CN"/>
        </w:rPr>
        <w:t>区地方金融监督管理局</w:t>
      </w:r>
      <w:r>
        <w:rPr>
          <w:rFonts w:eastAsia="方正小标宋简体"/>
          <w:sz w:val="44"/>
          <w:szCs w:val="44"/>
        </w:rPr>
        <w:t>20</w:t>
      </w:r>
      <w:r>
        <w:rPr>
          <w:rFonts w:hint="eastAsia" w:eastAsia="方正小标宋简体"/>
          <w:sz w:val="44"/>
          <w:szCs w:val="44"/>
        </w:rPr>
        <w:t>20</w:t>
      </w:r>
      <w:r>
        <w:rPr>
          <w:rFonts w:eastAsia="方正小标宋简体"/>
          <w:sz w:val="44"/>
          <w:szCs w:val="44"/>
        </w:rPr>
        <w:t>年全区经济社会发展主要目标任务分解</w:t>
      </w:r>
      <w:bookmarkStart w:id="0" w:name="_GoBack"/>
      <w:bookmarkEnd w:id="0"/>
    </w:p>
    <w:p>
      <w:pPr>
        <w:spacing w:line="600" w:lineRule="exact"/>
        <w:jc w:val="left"/>
      </w:pPr>
      <w:r>
        <w:rPr>
          <w:rFonts w:hint="eastAsia" w:eastAsia="黑体"/>
          <w:sz w:val="32"/>
          <w:szCs w:val="32"/>
        </w:rPr>
        <w:t>九、</w:t>
      </w:r>
      <w:r>
        <w:rPr>
          <w:rFonts w:eastAsia="黑体"/>
          <w:sz w:val="32"/>
          <w:szCs w:val="32"/>
        </w:rPr>
        <w:t>持续优化营商环境，全力支持实体经济发展</w:t>
      </w:r>
    </w:p>
    <w:tbl>
      <w:tblPr>
        <w:tblStyle w:val="7"/>
        <w:tblW w:w="1394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614"/>
        <w:gridCol w:w="1999"/>
        <w:gridCol w:w="1964"/>
        <w:gridCol w:w="613"/>
        <w:gridCol w:w="955"/>
        <w:gridCol w:w="859"/>
        <w:gridCol w:w="1541"/>
        <w:gridCol w:w="1609"/>
        <w:gridCol w:w="1677"/>
        <w:gridCol w:w="1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477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</w:p>
        </w:tc>
        <w:tc>
          <w:tcPr>
            <w:tcW w:w="614" w:type="dxa"/>
            <w:vAlign w:val="center"/>
          </w:tcPr>
          <w:p>
            <w:pPr>
              <w:spacing w:line="24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重点工作</w:t>
            </w:r>
          </w:p>
        </w:tc>
        <w:tc>
          <w:tcPr>
            <w:tcW w:w="1999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任务目标</w:t>
            </w:r>
          </w:p>
        </w:tc>
        <w:tc>
          <w:tcPr>
            <w:tcW w:w="1964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hint="eastAsia" w:eastAsia="黑体"/>
              </w:rPr>
              <w:t>具体措施</w:t>
            </w:r>
          </w:p>
        </w:tc>
        <w:tc>
          <w:tcPr>
            <w:tcW w:w="613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完成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时间</w:t>
            </w:r>
          </w:p>
        </w:tc>
        <w:tc>
          <w:tcPr>
            <w:tcW w:w="955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责任单位</w:t>
            </w:r>
          </w:p>
        </w:tc>
        <w:tc>
          <w:tcPr>
            <w:tcW w:w="859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分管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区长</w:t>
            </w:r>
          </w:p>
        </w:tc>
        <w:tc>
          <w:tcPr>
            <w:tcW w:w="1541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第1季度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任务目标</w:t>
            </w:r>
          </w:p>
        </w:tc>
        <w:tc>
          <w:tcPr>
            <w:tcW w:w="1609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第2季度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任务目标</w:t>
            </w:r>
          </w:p>
        </w:tc>
        <w:tc>
          <w:tcPr>
            <w:tcW w:w="1677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第3季度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任务目标</w:t>
            </w:r>
          </w:p>
        </w:tc>
        <w:tc>
          <w:tcPr>
            <w:tcW w:w="1636" w:type="dxa"/>
            <w:vAlign w:val="center"/>
          </w:tcPr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第</w:t>
            </w:r>
            <w:r>
              <w:rPr>
                <w:rFonts w:hint="eastAsia" w:eastAsia="黑体"/>
              </w:rPr>
              <w:t>4</w:t>
            </w:r>
            <w:r>
              <w:rPr>
                <w:rFonts w:eastAsia="黑体"/>
              </w:rPr>
              <w:t>季度</w:t>
            </w:r>
          </w:p>
          <w:p>
            <w:pPr>
              <w:spacing w:line="220" w:lineRule="exact"/>
              <w:jc w:val="center"/>
              <w:rPr>
                <w:rFonts w:eastAsia="黑体"/>
              </w:rPr>
            </w:pPr>
            <w:r>
              <w:rPr>
                <w:rFonts w:eastAsia="黑体"/>
              </w:rPr>
              <w:t>任务目标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0" w:hRule="atLeast"/>
        </w:trPr>
        <w:tc>
          <w:tcPr>
            <w:tcW w:w="477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33</w:t>
            </w:r>
          </w:p>
        </w:tc>
        <w:tc>
          <w:tcPr>
            <w:tcW w:w="614" w:type="dxa"/>
            <w:vAlign w:val="center"/>
          </w:tcPr>
          <w:p>
            <w:pPr>
              <w:spacing w:line="240" w:lineRule="exact"/>
              <w:jc w:val="left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加快实现“淄博服务”周村最优</w:t>
            </w:r>
            <w:r>
              <w:rPr>
                <w:rFonts w:hint="eastAsia" w:eastAsia="仿宋_GB2312"/>
                <w:highlight w:val="none"/>
              </w:rPr>
              <w:t>。</w:t>
            </w:r>
          </w:p>
        </w:tc>
        <w:tc>
          <w:tcPr>
            <w:tcW w:w="1999" w:type="dxa"/>
            <w:vAlign w:val="center"/>
          </w:tcPr>
          <w:p>
            <w:pPr>
              <w:spacing w:line="240" w:lineRule="exact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实施金融赋能行动，</w:t>
            </w:r>
            <w:r>
              <w:rPr>
                <w:rFonts w:hint="eastAsia" w:eastAsia="仿宋_GB2312"/>
                <w:highlight w:val="none"/>
              </w:rPr>
              <w:t>加强</w:t>
            </w:r>
            <w:r>
              <w:rPr>
                <w:rFonts w:eastAsia="仿宋_GB2312"/>
                <w:highlight w:val="none"/>
              </w:rPr>
              <w:t>与各类金融机构及天使投资等风投创投机构合作，为企业提供全生命周期金融服务。</w:t>
            </w:r>
          </w:p>
        </w:tc>
        <w:tc>
          <w:tcPr>
            <w:tcW w:w="1964" w:type="dxa"/>
            <w:vAlign w:val="center"/>
          </w:tcPr>
          <w:p>
            <w:pPr>
              <w:spacing w:line="240" w:lineRule="exact"/>
              <w:rPr>
                <w:rFonts w:hint="default" w:eastAsia="仿宋_GB2312"/>
                <w:highlight w:val="none"/>
                <w:lang w:val="en-US" w:eastAsia="zh-CN"/>
              </w:rPr>
            </w:pPr>
            <w:r>
              <w:rPr>
                <w:rFonts w:hint="eastAsia" w:eastAsia="仿宋_GB2312"/>
                <w:highlight w:val="none"/>
                <w:lang w:val="en-US" w:eastAsia="zh-CN"/>
              </w:rPr>
              <w:t>积极推动产业与金融良性互动，加强与金融业高端服务机构对接联系，筛选优质科创型企业、高新技术企业，建立从苗圃到孵化器、加速器、Pre-IPO、IPO等涵盖全生命周期的金融服务体系，引导专业金融机构为企业提供不同阶段的融资服务。</w:t>
            </w:r>
          </w:p>
        </w:tc>
        <w:tc>
          <w:tcPr>
            <w:tcW w:w="613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eastAsia="仿宋_GB2312"/>
                <w:highlight w:val="none"/>
              </w:rPr>
              <w:t>年内</w:t>
            </w:r>
          </w:p>
        </w:tc>
        <w:tc>
          <w:tcPr>
            <w:tcW w:w="955" w:type="dxa"/>
            <w:vAlign w:val="center"/>
          </w:tcPr>
          <w:p>
            <w:pPr>
              <w:spacing w:line="24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区科技局、</w:t>
            </w:r>
            <w:r>
              <w:rPr>
                <w:rFonts w:hint="eastAsia" w:eastAsia="仿宋_GB2312"/>
                <w:highlight w:val="none"/>
              </w:rPr>
              <w:t>区地方金融监管局</w:t>
            </w:r>
          </w:p>
        </w:tc>
        <w:tc>
          <w:tcPr>
            <w:tcW w:w="859" w:type="dxa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highlight w:val="none"/>
              </w:rPr>
            </w:pPr>
            <w:r>
              <w:rPr>
                <w:rFonts w:hint="eastAsia" w:eastAsia="仿宋_GB2312"/>
                <w:highlight w:val="none"/>
              </w:rPr>
              <w:t>赵  学</w:t>
            </w:r>
          </w:p>
        </w:tc>
        <w:tc>
          <w:tcPr>
            <w:tcW w:w="1541" w:type="dxa"/>
            <w:vAlign w:val="center"/>
          </w:tcPr>
          <w:p>
            <w:pPr>
              <w:spacing w:line="240" w:lineRule="exact"/>
              <w:rPr>
                <w:rFonts w:hint="eastAsia" w:eastAsia="仿宋_GB2312"/>
                <w:highlight w:val="none"/>
                <w:lang w:eastAsia="zh-CN"/>
              </w:rPr>
            </w:pPr>
            <w:r>
              <w:rPr>
                <w:rFonts w:hint="eastAsia" w:eastAsia="仿宋_GB2312"/>
                <w:highlight w:val="none"/>
                <w:lang w:eastAsia="zh-CN"/>
              </w:rPr>
              <w:t>积极与盈科资本、中泰证券、招商证券、优质商业银行等高端金融服务机构建立联系，组织到我区优质企业对接，探讨规划金融服务企业相关工作路径。</w:t>
            </w:r>
          </w:p>
        </w:tc>
        <w:tc>
          <w:tcPr>
            <w:tcW w:w="1609" w:type="dxa"/>
            <w:vAlign w:val="center"/>
          </w:tcPr>
          <w:p>
            <w:pPr>
              <w:numPr>
                <w:ilvl w:val="0"/>
                <w:numId w:val="0"/>
              </w:numPr>
              <w:spacing w:line="240" w:lineRule="exact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1.筛选全区优质科创企业，积极走访调研，建立对接资本市场后备企业库，引导相关机构，推进企业到沪深交易所、新三板、齐鲁股权交易中心等股权市场上市挂牌。</w:t>
            </w:r>
          </w:p>
          <w:p>
            <w:pPr>
              <w:numPr>
                <w:ilvl w:val="0"/>
                <w:numId w:val="0"/>
              </w:numPr>
              <w:spacing w:line="24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2.</w:t>
            </w:r>
            <w:r>
              <w:rPr>
                <w:rFonts w:hint="eastAsia" w:eastAsia="仿宋_GB2312"/>
                <w:lang w:eastAsia="zh-CN"/>
              </w:rPr>
              <w:t>组织招商证券与齐鲁华信对接，积极推进齐鲁华信新三板精选层挂牌工作，按照券商的尽调报告积极协调齐鲁华信整改完善各类手续，力争</w:t>
            </w:r>
            <w:r>
              <w:rPr>
                <w:rFonts w:hint="eastAsia" w:eastAsia="仿宋_GB2312"/>
                <w:lang w:val="en-US" w:eastAsia="zh-CN"/>
              </w:rPr>
              <w:t>2季度实现报山东证监局辅导。</w:t>
            </w:r>
          </w:p>
        </w:tc>
        <w:tc>
          <w:tcPr>
            <w:tcW w:w="1677" w:type="dxa"/>
            <w:vAlign w:val="center"/>
          </w:tcPr>
          <w:p>
            <w:pPr>
              <w:spacing w:line="240" w:lineRule="exact"/>
              <w:rPr>
                <w:rFonts w:hint="default" w:eastAsia="仿宋_GB2312"/>
                <w:lang w:val="en-US" w:eastAsia="zh-CN"/>
              </w:rPr>
            </w:pPr>
            <w:r>
              <w:rPr>
                <w:rFonts w:hint="eastAsia" w:eastAsia="仿宋_GB2312"/>
                <w:lang w:eastAsia="zh-CN"/>
              </w:rPr>
              <w:t>组织天使投资等风投创投企业到我区优质企业对接，推进企业规范完善公司治理、私募融资、引进战略投资，支持引导企业与投资机构的对接，提升企业直接融资比重，推进企业初步对接资本市场，实现</w:t>
            </w:r>
            <w:r>
              <w:rPr>
                <w:rFonts w:hint="eastAsia" w:eastAsia="仿宋_GB2312"/>
                <w:lang w:val="en-US" w:eastAsia="zh-CN"/>
              </w:rPr>
              <w:t>6家以上企业在齐鲁股交中心挂牌。</w:t>
            </w:r>
          </w:p>
        </w:tc>
        <w:tc>
          <w:tcPr>
            <w:tcW w:w="1636" w:type="dxa"/>
            <w:vAlign w:val="center"/>
          </w:tcPr>
          <w:p>
            <w:pPr>
              <w:spacing w:line="240" w:lineRule="exact"/>
              <w:rPr>
                <w:rFonts w:eastAsia="仿宋_GB2312"/>
              </w:rPr>
            </w:pPr>
            <w:r>
              <w:rPr>
                <w:rFonts w:hint="default" w:eastAsia="仿宋_GB2312"/>
                <w:lang w:val="en-US" w:eastAsia="zh-CN"/>
              </w:rPr>
              <w:t>加大对上争取力度，积极参与</w:t>
            </w:r>
            <w:r>
              <w:rPr>
                <w:rFonts w:hint="eastAsia" w:eastAsia="仿宋_GB2312"/>
                <w:lang w:val="en-US" w:eastAsia="zh-CN"/>
              </w:rPr>
              <w:t>省市</w:t>
            </w:r>
            <w:r>
              <w:rPr>
                <w:rFonts w:hint="default" w:eastAsia="仿宋_GB2312"/>
                <w:lang w:val="en-US" w:eastAsia="zh-CN"/>
              </w:rPr>
              <w:t>各类基金运作</w:t>
            </w:r>
            <w:r>
              <w:rPr>
                <w:rFonts w:hint="eastAsia" w:eastAsia="仿宋_GB2312"/>
                <w:lang w:val="en-US" w:eastAsia="zh-CN"/>
              </w:rPr>
              <w:t>，</w:t>
            </w:r>
            <w:r>
              <w:rPr>
                <w:rFonts w:hint="default" w:eastAsia="仿宋_GB2312"/>
                <w:lang w:val="en-US" w:eastAsia="zh-CN"/>
              </w:rPr>
              <w:t>争取省市各类基金服务我区</w:t>
            </w:r>
            <w:r>
              <w:rPr>
                <w:rFonts w:hint="eastAsia" w:eastAsia="仿宋_GB2312"/>
                <w:lang w:val="en-US" w:eastAsia="zh-CN"/>
              </w:rPr>
              <w:t>，积极推动淄博道得新能源新材料基金、淄博华立尚润创业投资合伙企业开展实质性运作，进一步完善我区金融服务体系，助推我区更多企业、重点项目走资本市场融资道路。</w:t>
            </w:r>
          </w:p>
        </w:tc>
      </w:tr>
    </w:tbl>
    <w:p>
      <w:pPr>
        <w:spacing w:line="600" w:lineRule="exact"/>
        <w:jc w:val="left"/>
        <w:rPr>
          <w:rFonts w:eastAsia="黑体"/>
          <w:sz w:val="32"/>
          <w:szCs w:val="32"/>
        </w:rPr>
      </w:pPr>
    </w:p>
    <w:sectPr>
      <w:footerReference r:id="rId3" w:type="default"/>
      <w:pgSz w:w="16838" w:h="11906" w:orient="landscape"/>
      <w:pgMar w:top="2098" w:right="1531" w:bottom="1701" w:left="1531" w:header="851" w:footer="992" w:gutter="0"/>
      <w:cols w:space="0" w:num="1"/>
      <w:docGrid w:type="lines" w:linePitch="32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A07"/>
    <w:rsid w:val="00067A07"/>
    <w:rsid w:val="002742CF"/>
    <w:rsid w:val="0051315F"/>
    <w:rsid w:val="00731993"/>
    <w:rsid w:val="00921754"/>
    <w:rsid w:val="013F23A0"/>
    <w:rsid w:val="05465899"/>
    <w:rsid w:val="07B976D5"/>
    <w:rsid w:val="0AAF1BB9"/>
    <w:rsid w:val="0AE073DB"/>
    <w:rsid w:val="0E3B7B78"/>
    <w:rsid w:val="16801821"/>
    <w:rsid w:val="198156D2"/>
    <w:rsid w:val="19F565BC"/>
    <w:rsid w:val="1B905C94"/>
    <w:rsid w:val="1BA275DC"/>
    <w:rsid w:val="250715E7"/>
    <w:rsid w:val="25F37F9B"/>
    <w:rsid w:val="26965840"/>
    <w:rsid w:val="28D672FF"/>
    <w:rsid w:val="2D701F30"/>
    <w:rsid w:val="30034148"/>
    <w:rsid w:val="325543FF"/>
    <w:rsid w:val="33773219"/>
    <w:rsid w:val="38EF45BF"/>
    <w:rsid w:val="3BE72476"/>
    <w:rsid w:val="436C4FA0"/>
    <w:rsid w:val="43D967C5"/>
    <w:rsid w:val="4A0D7D66"/>
    <w:rsid w:val="4BB86BA4"/>
    <w:rsid w:val="505A0304"/>
    <w:rsid w:val="53AA0057"/>
    <w:rsid w:val="54D456FC"/>
    <w:rsid w:val="5C42402F"/>
    <w:rsid w:val="5C6C64CB"/>
    <w:rsid w:val="5D717ACF"/>
    <w:rsid w:val="5DE3440F"/>
    <w:rsid w:val="5E155A70"/>
    <w:rsid w:val="60962963"/>
    <w:rsid w:val="64A37BC5"/>
    <w:rsid w:val="6810511C"/>
    <w:rsid w:val="69A80258"/>
    <w:rsid w:val="6D2A7DE5"/>
    <w:rsid w:val="6D4659E9"/>
    <w:rsid w:val="70B87943"/>
    <w:rsid w:val="71952736"/>
    <w:rsid w:val="730509A9"/>
    <w:rsid w:val="7C3033ED"/>
    <w:rsid w:val="7D1602ED"/>
    <w:rsid w:val="7F54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shd w:val="solid" w:color="auto" w:fill="auto"/>
      <w:spacing w:line="576" w:lineRule="auto"/>
      <w:outlineLvl w:val="0"/>
    </w:pPr>
    <w:rPr>
      <w:rFonts w:eastAsia="宋体" w:cs="Times New Roman"/>
      <w:b/>
      <w:kern w:val="1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  <w:rPr>
      <w:rFonts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Calibri" w:hAnsi="Calibri" w:cs="Calibri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30</Pages>
  <Words>1996</Words>
  <Characters>11381</Characters>
  <Lines>94</Lines>
  <Paragraphs>26</Paragraphs>
  <TotalTime>1006</TotalTime>
  <ScaleCrop>false</ScaleCrop>
  <LinksUpToDate>false</LinksUpToDate>
  <CharactersWithSpaces>13351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2020-05-28T08:17:00Z</cp:lastPrinted>
  <dcterms:modified xsi:type="dcterms:W3CDTF">2021-01-14T03:44:53Z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