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892B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Cs/>
          <w:color w:val="000000"/>
          <w:spacing w:val="0"/>
          <w:w w:val="98"/>
          <w:kern w:val="0"/>
          <w:sz w:val="44"/>
          <w:lang w:eastAsia="zh-CN"/>
        </w:rPr>
      </w:pPr>
    </w:p>
    <w:p w14:paraId="5A77A2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年度周村区政府债务</w:t>
      </w:r>
    </w:p>
    <w:p w14:paraId="35AC26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有关情况的说明</w:t>
      </w:r>
    </w:p>
    <w:p w14:paraId="525F6C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</w:pPr>
    </w:p>
    <w:p w14:paraId="6A3E5F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一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eastAsia="zh-CN"/>
        </w:rPr>
        <w:t>2025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  <w:lang w:eastAsia="zh-CN"/>
        </w:rPr>
        <w:t>债务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限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额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况</w:t>
      </w:r>
    </w:p>
    <w:p w14:paraId="2C133C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经省政府批准，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市财政局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核定我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年度地方政府债务限额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123.64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亿元。其中当年新增债务限额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12.05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亿元，新增地方政府专项债务限额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12.05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</w:t>
      </w:r>
    </w:p>
    <w:p w14:paraId="6ACC9FC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left="631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二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eastAsia="zh-CN"/>
        </w:rPr>
        <w:t>2025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5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举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借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情况</w:t>
      </w:r>
    </w:p>
    <w:p w14:paraId="245995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在依法批准的债务限额内，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当年举借债务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亿元，其中：新增债券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12.05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9.95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债券只用于置换存量债务，不增加政府债务限额和余额。</w:t>
      </w:r>
    </w:p>
    <w:p w14:paraId="403728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left="632" w:leftChars="0" w:right="1127" w:rightChars="0" w:hanging="1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三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8"/>
          <w:kern w:val="0"/>
          <w:sz w:val="32"/>
        </w:rPr>
        <w:t>、</w:t>
      </w:r>
      <w:r>
        <w:rPr>
          <w:rFonts w:hint="eastAsia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7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全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债券资金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用情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  <w:t xml:space="preserve">况 </w:t>
      </w:r>
    </w:p>
    <w:p w14:paraId="77D713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严格按照政策规定，用足用好债券资金。其中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12.05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亿元新增债券使用安排情况是：用于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市政建设1.72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14.28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卫生健康2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16.60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用于农林水利2.26亿元，占18.76%；用于城乡冷链物流1.94亿元，占16.10%；用于新基建2.18亿元，占18.10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%；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用于</w:t>
      </w:r>
      <w:r>
        <w:rPr>
          <w:rFonts w:hint="eastAsia" w:ascii="Times New Roman" w:hAnsi="Times New Roman" w:eastAsia="仿宋" w:cs="Times New Roman"/>
          <w:bCs/>
          <w:color w:val="auto"/>
          <w:spacing w:val="0"/>
          <w:kern w:val="0"/>
          <w:sz w:val="32"/>
          <w:highlight w:val="none"/>
          <w:lang w:val="en-US" w:eastAsia="zh-CN"/>
        </w:rPr>
        <w:t>政府投资项目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1.95亿，占16.16%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债券资金使用方面，优先置换高息债务，优化债务期限结构，有力缓解了各级偿债压力，进一步降低了地方政府融资成本。</w:t>
      </w:r>
    </w:p>
    <w:p w14:paraId="671376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 w14:paraId="3B41FD8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 w14:paraId="676454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C5AF8-B4CE-414F-BF11-C93C15FFC8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3D4F5D-36FD-4692-A612-B155A75515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53B0B9-70EB-40EF-B89E-6AD63A42C5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OWY4NTUyMDUzNDkxNmRlZTZkNWNiZDU2NjM3OWMifQ=="/>
  </w:docVars>
  <w:rsids>
    <w:rsidRoot w:val="00172A27"/>
    <w:rsid w:val="0028091E"/>
    <w:rsid w:val="00B607A9"/>
    <w:rsid w:val="0261487E"/>
    <w:rsid w:val="03E2554B"/>
    <w:rsid w:val="04490A88"/>
    <w:rsid w:val="0506170D"/>
    <w:rsid w:val="05545C1C"/>
    <w:rsid w:val="05575AC4"/>
    <w:rsid w:val="096D1D5A"/>
    <w:rsid w:val="0A6767AA"/>
    <w:rsid w:val="0A9D21CB"/>
    <w:rsid w:val="0AA3355A"/>
    <w:rsid w:val="0AF12517"/>
    <w:rsid w:val="0D311F15"/>
    <w:rsid w:val="0E527476"/>
    <w:rsid w:val="0EC71F0D"/>
    <w:rsid w:val="13823AF7"/>
    <w:rsid w:val="16700047"/>
    <w:rsid w:val="169326D4"/>
    <w:rsid w:val="16A91EF8"/>
    <w:rsid w:val="1B665EBA"/>
    <w:rsid w:val="1BE51C24"/>
    <w:rsid w:val="20BD6CCC"/>
    <w:rsid w:val="20C31E08"/>
    <w:rsid w:val="20E6710D"/>
    <w:rsid w:val="22477195"/>
    <w:rsid w:val="22AA0C57"/>
    <w:rsid w:val="235D4796"/>
    <w:rsid w:val="25284930"/>
    <w:rsid w:val="293A5405"/>
    <w:rsid w:val="2C520F40"/>
    <w:rsid w:val="2E8B665B"/>
    <w:rsid w:val="32B75C71"/>
    <w:rsid w:val="33407E59"/>
    <w:rsid w:val="344F0740"/>
    <w:rsid w:val="35AB1391"/>
    <w:rsid w:val="3739621F"/>
    <w:rsid w:val="37DB794B"/>
    <w:rsid w:val="383C5E0F"/>
    <w:rsid w:val="38A24CCD"/>
    <w:rsid w:val="3A7B57D6"/>
    <w:rsid w:val="41087697"/>
    <w:rsid w:val="42C70E89"/>
    <w:rsid w:val="43104F29"/>
    <w:rsid w:val="47B73BC5"/>
    <w:rsid w:val="4AAC5537"/>
    <w:rsid w:val="4AB8212E"/>
    <w:rsid w:val="4B017EA4"/>
    <w:rsid w:val="4B3111F3"/>
    <w:rsid w:val="4B7778F3"/>
    <w:rsid w:val="4BCD7E5B"/>
    <w:rsid w:val="4BE90525"/>
    <w:rsid w:val="4F3A5808"/>
    <w:rsid w:val="50F934A0"/>
    <w:rsid w:val="51F223CA"/>
    <w:rsid w:val="52D91426"/>
    <w:rsid w:val="54BF230B"/>
    <w:rsid w:val="54D97871"/>
    <w:rsid w:val="56C85A52"/>
    <w:rsid w:val="575E5214"/>
    <w:rsid w:val="57F1E9FC"/>
    <w:rsid w:val="58164938"/>
    <w:rsid w:val="5BC56459"/>
    <w:rsid w:val="5E71005E"/>
    <w:rsid w:val="632B573B"/>
    <w:rsid w:val="652341F0"/>
    <w:rsid w:val="65C634F9"/>
    <w:rsid w:val="67242BCD"/>
    <w:rsid w:val="677B0314"/>
    <w:rsid w:val="67FD51CC"/>
    <w:rsid w:val="6C7F9CB0"/>
    <w:rsid w:val="6DD8026E"/>
    <w:rsid w:val="6FA0300D"/>
    <w:rsid w:val="72D059B7"/>
    <w:rsid w:val="7476433D"/>
    <w:rsid w:val="75B72E5F"/>
    <w:rsid w:val="75E65FEF"/>
    <w:rsid w:val="7A7E20E7"/>
    <w:rsid w:val="7AA37E55"/>
    <w:rsid w:val="7E3F1C43"/>
    <w:rsid w:val="7EBA2351"/>
    <w:rsid w:val="7F166E48"/>
    <w:rsid w:val="7FFB0940"/>
    <w:rsid w:val="7FFF108F"/>
    <w:rsid w:val="8F3D6243"/>
    <w:rsid w:val="9DEF309B"/>
    <w:rsid w:val="EDA72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"/>
    <w:qFormat/>
    <w:uiPriority w:val="0"/>
    <w:pPr>
      <w:adjustRightInd w:val="0"/>
      <w:snapToGrid w:val="0"/>
      <w:spacing w:after="200" w:afterLines="0" w:line="240" w:lineRule="auto"/>
    </w:pPr>
    <w:rPr>
      <w:rFonts w:ascii="Tahoma" w:hAnsi="Tahoma" w:eastAsia="微软雅黑" w:cs="黑体"/>
      <w:sz w:val="22"/>
      <w:szCs w:val="22"/>
      <w:lang w:val="en-US" w:eastAsia="zh-CN"/>
    </w:rPr>
  </w:style>
  <w:style w:type="paragraph" w:customStyle="1" w:styleId="5">
    <w:name w:val="正文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420</Characters>
  <Lines>0</Lines>
  <Paragraphs>0</Paragraphs>
  <TotalTime>105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2021-09-07T16:31:00Z</dcterms:created>
  <dc:creator>Administrator</dc:creator>
  <cp:lastModifiedBy>番茄炒蛋多加蛋</cp:lastModifiedBy>
  <dcterms:modified xsi:type="dcterms:W3CDTF">2026-03-27T07:39:27Z</dcterms:modified>
  <dc:title>Sea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A53437CB4A13613D0B46726627847B3D</vt:lpwstr>
  </property>
  <property fmtid="{D5CDD505-2E9C-101B-9397-08002B2CF9AE}" pid="4" name="KSOTemplateDocerSaveRecord">
    <vt:lpwstr>eyJoZGlkIjoiZjE5NDllY2NhOWJjYTRmMTM4OTk5YWEzYzQ3ODM1ZTUiLCJ1c2VySWQiOiI1NTYyNTYwNTcifQ==</vt:lpwstr>
  </property>
</Properties>
</file>