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方正小标宋简体" w:cs="Times New Roman"/>
          <w:b w:val="0"/>
          <w:color w:val="3D3D3D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color w:val="3D3D3D"/>
          <w:sz w:val="44"/>
          <w:szCs w:val="44"/>
          <w:u w:val="none"/>
          <w:shd w:val="clear" w:fill="FFFFFF"/>
          <w:lang w:eastAsia="zh-CN"/>
        </w:rPr>
        <w:t>周村区财政局</w:t>
      </w:r>
      <w:r>
        <w:rPr>
          <w:rFonts w:hint="default" w:ascii="Times New Roman" w:hAnsi="Times New Roman" w:eastAsia="方正小标宋简体" w:cs="Times New Roman"/>
          <w:b w:val="0"/>
          <w:color w:val="3D3D3D"/>
          <w:sz w:val="44"/>
          <w:szCs w:val="44"/>
          <w:u w:val="none"/>
          <w:shd w:val="clear" w:fill="FFFFFF"/>
          <w:lang w:val="en-US" w:eastAsia="zh-CN"/>
        </w:rPr>
        <w:t>2020年度政务公开实施方案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" w:cs="Times New Roman"/>
          <w:b w:val="0"/>
          <w:color w:val="3D3D3D"/>
          <w:sz w:val="31"/>
          <w:szCs w:val="31"/>
          <w:u w:val="none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为进一步加强区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财政局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政务公开工作，深入贯彻落实《中华人民共和国政府信息公开条例》(以下简称《条例》)和《山东省政府信息公开办法》等文件，结合当前全区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财政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工作实际，制定如下实施方案。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u w:val="none"/>
          <w:shd w:val="clear" w:fill="FFFFFF"/>
        </w:rPr>
        <w:t>一、指导思想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按照《中华人民共和国政府信息公开条例》和区政府关于政府信息公开工作的要求，紧紧围绕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财政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工作，健全机构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明确责任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完善制度，分解任务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规范工作，抓好落实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切实保障人民群众的知情权、参与权、表达权和监督权，依法提供公开、透明、高效的公共服务。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u w:val="none"/>
          <w:shd w:val="clear" w:fill="FFFFFF"/>
        </w:rPr>
        <w:t>二、基本原则和工作目标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（一）基本原则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坚持“依法公开”的原则。除以下信息以外的政务信息都必须公开：国家秘密；商业秘密和个人隐私；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坚持“主动公开和依申请公开相结合”的原则；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坚持“公平、公正、合法、真实、便民、及时”的原则；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坚持“谁制作、谁更新、谁审查、谁负责”的原则。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二）工作目标凡涉及人社工作的职责、办理事项、办事程序、办事时限、服务项目、各类收费标准，只要不违反保密规定，全面实行政务信息公开，促进公开的范围和内容向深度和广度发展，使我局的政务信息公开工作走上程序化、规范化、制度化的轨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政务信息公开事项按照“公开为原则，不公开为例外”的基本要求，做到完整有效、真实准确、客观公正，使社会公众应知尽知。以上内容属于国家秘密或工作保密事项的文件，在保密期限内不得对外公开。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u w:val="none"/>
          <w:shd w:val="clear" w:fill="FFFFFF"/>
        </w:rPr>
        <w:t>四、信息公开的方式和程序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（一）信息公开的方式：通过多种方式主动公开政务信息，以区政府网站为主要的信息发布渠道进行信息公开。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（二）信息公开的程序：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局属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各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单位、各科室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应公开的信息，由各科室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、各单位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准备或起草，经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各科室、各单位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负责人、分管领导审核后，提交局主要领导审阅后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自行发布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。对公民、法人或者其他组织申请公开相关信息的，按《中华人民共和国政府信息公开条例》规定要求和程序办理。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color w:val="auto"/>
          <w:sz w:val="32"/>
          <w:szCs w:val="32"/>
          <w:u w:val="none"/>
          <w:shd w:val="clear" w:fill="FFFFFF"/>
        </w:rPr>
        <w:t>五、有关要求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（一）加强领导。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局属各单位、各科室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要在局政务信息公开工作领导小组下，高度重视政务信息公开工作，落实人员、明确责任，完善机制、奖惩并重。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（二）落实责任。实行“谁主管、谁负责”的分工负责制。局政务信息公开工作领导小组负总责，局办公室承担政务信息公开日常事务，各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  <w:lang w:eastAsia="zh-CN"/>
        </w:rPr>
        <w:t>单位、各科室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协同配合。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42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u w:val="none"/>
          <w:shd w:val="clear" w:fill="FFFFFF"/>
        </w:rPr>
        <w:t>（三）强化督导。局领导小组要加大监督检查力度，对政务信息公开工作中存在的问题和薄弱环节，要采取措施及时加以解决，确保信息公开工作取得实效。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附件：周村区财政局政务公开领导小组人员名单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eastAsia" w:ascii="黑体" w:hAnsi="黑体" w:eastAsia="黑体" w:cs="黑体"/>
          <w:spacing w:val="12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12"/>
          <w:kern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default" w:ascii="Times New Roman" w:hAnsi="Times New Roman" w:eastAsia="方正小标宋简体" w:cs="Times New Roman"/>
          <w:spacing w:val="12"/>
          <w:kern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12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12"/>
          <w:kern w:val="0"/>
          <w:sz w:val="44"/>
          <w:szCs w:val="44"/>
          <w:lang w:eastAsia="zh-CN"/>
        </w:rPr>
        <w:t>周村区财政局政务公开领导小组人员名单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12"/>
          <w:kern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spacing w:val="0"/>
          <w:sz w:val="32"/>
          <w:lang w:val="en-US" w:eastAsia="zh-CN"/>
        </w:rPr>
        <w:t xml:space="preserve"> 组  长：</w:t>
      </w: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贺迎东  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0" w:right="0" w:rightChars="0" w:hanging="3200" w:hangingChars="10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lang w:val="en-US" w:eastAsia="zh-CN"/>
        </w:rPr>
        <w:t xml:space="preserve">    副组长：</w:t>
      </w: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吴振峰  党组成员、副局长、二级主任科员，淄博经济开发区大学城园区管委会财务金融部部长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    程孝东  党组成员、区财政国库集中支付中心主任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    韩俊霞  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    杨  红  党组成员、副科级干部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    张玉清  党组成员、副科级干部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558" w:leftChars="304" w:right="0" w:rightChars="0" w:hanging="1920" w:hangingChars="6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lang w:val="en-US" w:eastAsia="zh-CN"/>
        </w:rPr>
        <w:t>成  员：</w:t>
      </w: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卢春光  区国有资产保值增值服务中心副主任、办公室主任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    杨广勇  预算科科长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吕  莉  区财政国库集中支付中心副主任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right="0" w:rightChars="0" w:hanging="2560" w:hangingChars="8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马  辉  行政政法科科长</w:t>
      </w:r>
      <w:r>
        <w:rPr>
          <w:rFonts w:hint="eastAsia" w:ascii="Times New Roman" w:hAnsi="Times New Roman" w:eastAsia="仿宋_GB2312" w:cs="Times New Roman"/>
          <w:spacing w:val="0"/>
          <w:sz w:val="32"/>
          <w:lang w:val="en-US" w:eastAsia="zh-CN"/>
        </w:rPr>
        <w:t>、区财政国库集中支付中心综合科科长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张秀玲  科教文科科长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right="0" w:rightChars="0" w:hanging="1280" w:hangingChars="4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张  波  经济建设科科长、区公有资产经营中心副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right="0" w:rightChars="0" w:hanging="1280" w:hangingChars="4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郑  峰  农业科科长、副科级干部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李  静  会计科科长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赵文刚  工商贸易科科长</w:t>
      </w:r>
      <w:r>
        <w:rPr>
          <w:rFonts w:hint="eastAsia" w:ascii="Times New Roman" w:hAnsi="Times New Roman" w:eastAsia="仿宋_GB2312" w:cs="Times New Roman"/>
          <w:spacing w:val="0"/>
          <w:sz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区政府投融资事务中心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3200" w:firstLineChars="10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业务指导科科长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right="0" w:rightChars="0" w:hanging="2560" w:hangingChars="8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王  栋  税政科科长</w:t>
      </w:r>
      <w:r>
        <w:rPr>
          <w:rFonts w:hint="eastAsia" w:ascii="Times New Roman" w:hAnsi="Times New Roman" w:eastAsia="仿宋_GB2312" w:cs="Times New Roman"/>
          <w:spacing w:val="0"/>
          <w:sz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区财政运行保障服务中心政策研究科科长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right="0" w:rightChars="0" w:hanging="2560" w:hangingChars="8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张彦平  行政许可科科长</w:t>
      </w:r>
      <w:r>
        <w:rPr>
          <w:rFonts w:hint="eastAsia" w:ascii="Times New Roman" w:hAnsi="Times New Roman" w:eastAsia="仿宋_GB2312" w:cs="Times New Roman"/>
          <w:spacing w:val="0"/>
          <w:sz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区国有资产保值增值服务中心资产交易科科长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right="0" w:rightChars="0" w:hanging="2560" w:hangingChars="8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周占新  区财政运行保障服务中心主任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right="0" w:rightChars="0" w:hanging="1280" w:hangingChars="4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何浬莉  区财政国库集中支付中心副主任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梅  涛  区人民政府采购中心主任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right="0" w:rightChars="0" w:hanging="2560" w:hangingChars="8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尚贞强  区国有资产保值增值服务中心副主任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right="0" w:rightChars="0" w:hanging="1280" w:hangingChars="4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刘剑锋  区政府投融资事务中心主任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张  华  区财政局投资评审中心主任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1918" w:leftChars="304" w:right="0" w:rightChars="0" w:hanging="1280" w:hangingChars="4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许新民  副主任科员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1915" w:leftChars="912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>韩  磊  区经济开发投资公司综合计划科科长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lang w:val="en-US" w:eastAsia="zh-CN"/>
        </w:rPr>
        <w:t xml:space="preserve">        王  涛  工会主席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sectPr>
      <w:pgSz w:w="11906" w:h="16838"/>
      <w:pgMar w:top="2041" w:right="1531" w:bottom="175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F20A6"/>
    <w:rsid w:val="010F20A6"/>
    <w:rsid w:val="03774C0B"/>
    <w:rsid w:val="07247058"/>
    <w:rsid w:val="0914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Hyperlink"/>
    <w:basedOn w:val="4"/>
    <w:uiPriority w:val="0"/>
    <w:rPr>
      <w:color w:val="0000FF"/>
      <w:u w:val="none"/>
    </w:rPr>
  </w:style>
  <w:style w:type="character" w:customStyle="1" w:styleId="8">
    <w:name w:val="hover15"/>
    <w:basedOn w:val="4"/>
    <w:uiPriority w:val="0"/>
    <w:rPr>
      <w:color w:val="FFFFFF"/>
    </w:rPr>
  </w:style>
  <w:style w:type="character" w:customStyle="1" w:styleId="9">
    <w:name w:val="hover17"/>
    <w:basedOn w:val="4"/>
    <w:uiPriority w:val="0"/>
    <w:rPr>
      <w:color w:val="FFFFFF"/>
    </w:rPr>
  </w:style>
  <w:style w:type="character" w:customStyle="1" w:styleId="10">
    <w:name w:val="hover"/>
    <w:basedOn w:val="4"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2020-11-18T08:36:00Z</dcterms:created>
  <dc:creator>Administrator</dc:creator>
  <cp:lastModifiedBy>Administrator</cp:lastModifiedBy>
  <cp:lastPrinted>2020-11-19T00:26:00Z</cp:lastPrinted>
  <dcterms:modified xsi:type="dcterms:W3CDTF">2020-11-19T01:05:16Z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