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eastAsia="方正小标宋简体"/>
          <w:szCs w:val="21"/>
        </w:rPr>
      </w:pPr>
    </w:p>
    <w:p>
      <w:pPr>
        <w:spacing w:line="560" w:lineRule="exact"/>
        <w:jc w:val="center"/>
        <w:rPr>
          <w:rFonts w:eastAsia="方正小标宋简体"/>
          <w:szCs w:val="21"/>
        </w:rPr>
      </w:pPr>
    </w:p>
    <w:p>
      <w:pPr>
        <w:spacing w:line="560" w:lineRule="exact"/>
        <w:jc w:val="center"/>
        <w:rPr>
          <w:rFonts w:eastAsia="方正小标宋简体"/>
          <w:szCs w:val="21"/>
        </w:rPr>
      </w:pPr>
    </w:p>
    <w:p>
      <w:pPr>
        <w:spacing w:line="560" w:lineRule="exact"/>
        <w:jc w:val="center"/>
        <w:rPr>
          <w:rFonts w:eastAsia="方正小标宋简体"/>
          <w:szCs w:val="21"/>
        </w:rPr>
      </w:pPr>
    </w:p>
    <w:p>
      <w:pPr>
        <w:spacing w:line="560" w:lineRule="exact"/>
        <w:jc w:val="center"/>
        <w:rPr>
          <w:rFonts w:eastAsia="方正小标宋简体"/>
          <w:szCs w:val="21"/>
        </w:rPr>
      </w:pPr>
    </w:p>
    <w:p>
      <w:pPr>
        <w:spacing w:line="560" w:lineRule="exact"/>
        <w:jc w:val="center"/>
        <w:rPr>
          <w:rFonts w:eastAsia="方正小标宋简体"/>
          <w:szCs w:val="21"/>
        </w:rPr>
      </w:pPr>
    </w:p>
    <w:p>
      <w:pPr>
        <w:spacing w:line="600" w:lineRule="exact"/>
        <w:jc w:val="center"/>
        <w:rPr>
          <w:rFonts w:eastAsia="楷体_GB2312"/>
          <w:sz w:val="32"/>
          <w:szCs w:val="32"/>
        </w:rPr>
      </w:pPr>
      <w:r>
        <w:rPr>
          <w:rFonts w:eastAsia="楷体_GB2312"/>
          <w:sz w:val="32"/>
          <w:szCs w:val="32"/>
        </w:rPr>
        <w:t>周发改字〔20</w:t>
      </w:r>
      <w:r>
        <w:rPr>
          <w:rFonts w:hint="eastAsia" w:eastAsia="楷体_GB2312"/>
          <w:sz w:val="32"/>
          <w:szCs w:val="32"/>
          <w:lang w:val="en-US" w:eastAsia="zh-CN"/>
        </w:rPr>
        <w:t>20</w:t>
      </w:r>
      <w:r>
        <w:rPr>
          <w:rFonts w:eastAsia="楷体_GB2312"/>
          <w:sz w:val="32"/>
          <w:szCs w:val="32"/>
        </w:rPr>
        <w:t>〕</w:t>
      </w:r>
      <w:r>
        <w:rPr>
          <w:rFonts w:hint="eastAsia" w:eastAsia="楷体_GB2312"/>
          <w:sz w:val="32"/>
          <w:szCs w:val="32"/>
          <w:lang w:val="en-US" w:eastAsia="zh-CN"/>
        </w:rPr>
        <w:t>42</w:t>
      </w:r>
      <w:r>
        <w:rPr>
          <w:rFonts w:eastAsia="楷体_GB2312"/>
          <w:sz w:val="32"/>
          <w:szCs w:val="32"/>
        </w:rPr>
        <w:t xml:space="preserve">号 </w:t>
      </w:r>
      <w:r>
        <w:rPr>
          <w:rFonts w:hint="eastAsia" w:eastAsia="楷体_GB2312"/>
          <w:sz w:val="32"/>
          <w:szCs w:val="32"/>
        </w:rPr>
        <w:t xml:space="preserve">    </w:t>
      </w:r>
      <w:r>
        <w:rPr>
          <w:rFonts w:eastAsia="楷体_GB2312"/>
          <w:sz w:val="32"/>
          <w:szCs w:val="32"/>
        </w:rPr>
        <w:t xml:space="preserve">              签发人：董建生</w:t>
      </w:r>
    </w:p>
    <w:p>
      <w:pPr>
        <w:spacing w:line="600" w:lineRule="exact"/>
        <w:jc w:val="center"/>
        <w:rPr>
          <w:rFonts w:ascii="楷体_GB2312" w:eastAsia="楷体_GB2312"/>
          <w:sz w:val="32"/>
          <w:szCs w:val="32"/>
        </w:rPr>
      </w:pPr>
    </w:p>
    <w:p>
      <w:pPr>
        <w:widowControl w:val="0"/>
        <w:spacing w:line="600" w:lineRule="exact"/>
        <w:ind w:firstLine="6240" w:firstLineChars="1950"/>
        <w:jc w:val="right"/>
        <w:rPr>
          <w:rFonts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关于对周村区第十八届人民代表大会</w:t>
      </w:r>
    </w:p>
    <w:p>
      <w:pPr>
        <w:keepNext w:val="0"/>
        <w:keepLines w:val="0"/>
        <w:pageBreakBefore w:val="0"/>
        <w:widowControl w:val="0"/>
        <w:kinsoku/>
        <w:wordWrap/>
        <w:overflowPunct/>
        <w:topLinePunct w:val="0"/>
        <w:autoSpaceDE/>
        <w:autoSpaceDN/>
        <w:bidi w:val="0"/>
        <w:adjustRightInd/>
        <w:snapToGrid/>
        <w:spacing w:line="560" w:lineRule="exact"/>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第四次会议第</w:t>
      </w:r>
      <w:r>
        <w:rPr>
          <w:rFonts w:hint="eastAsia" w:ascii="Times New Roman" w:hAnsi="Times New Roman" w:eastAsia="方正小标宋简体" w:cs="Times New Roman"/>
          <w:color w:val="auto"/>
          <w:sz w:val="44"/>
          <w:szCs w:val="44"/>
          <w:lang w:val="en-US" w:eastAsia="zh-CN"/>
        </w:rPr>
        <w:t>41</w:t>
      </w:r>
      <w:r>
        <w:rPr>
          <w:rFonts w:hint="default" w:ascii="Times New Roman" w:hAnsi="Times New Roman" w:eastAsia="方正小标宋简体" w:cs="Times New Roman"/>
          <w:color w:val="auto"/>
          <w:sz w:val="44"/>
          <w:szCs w:val="44"/>
        </w:rPr>
        <w:t>号代表建议、批评和意见</w:t>
      </w:r>
    </w:p>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的答复</w:t>
      </w:r>
    </w:p>
    <w:p>
      <w:pPr>
        <w:keepNext w:val="0"/>
        <w:keepLines w:val="0"/>
        <w:pageBreakBefore w:val="0"/>
        <w:widowControl w:val="0"/>
        <w:kinsoku/>
        <w:wordWrap/>
        <w:overflowPunct/>
        <w:topLinePunct w:val="0"/>
        <w:autoSpaceDE/>
        <w:autoSpaceDN/>
        <w:bidi w:val="0"/>
        <w:adjustRightInd/>
        <w:snapToGrid/>
        <w:spacing w:line="560" w:lineRule="exact"/>
        <w:rPr>
          <w:rFonts w:eastAsia="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left"/>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eastAsia="zh-CN"/>
        </w:rPr>
        <w:t>高康代表</w:t>
      </w:r>
      <w:r>
        <w:rPr>
          <w:rFonts w:hint="eastAsia" w:ascii="Times New Roman" w:hAnsi="Times New Roman" w:eastAsia="仿宋_GB2312" w:cs="Times New Roman"/>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您</w:t>
      </w:r>
      <w:r>
        <w:rPr>
          <w:rFonts w:hint="eastAsia" w:eastAsia="仿宋_GB2312" w:cs="Times New Roman"/>
          <w:color w:val="auto"/>
          <w:sz w:val="32"/>
          <w:szCs w:val="32"/>
          <w:lang w:eastAsia="zh-CN"/>
        </w:rPr>
        <w:t>所</w:t>
      </w:r>
      <w:r>
        <w:rPr>
          <w:rFonts w:hint="default" w:ascii="Times New Roman" w:hAnsi="Times New Roman" w:eastAsia="仿宋_GB2312" w:cs="Times New Roman"/>
          <w:color w:val="auto"/>
          <w:sz w:val="32"/>
          <w:szCs w:val="32"/>
        </w:rPr>
        <w:t>提《关于</w:t>
      </w:r>
      <w:r>
        <w:rPr>
          <w:rFonts w:hint="eastAsia" w:ascii="Times New Roman" w:hAnsi="Times New Roman" w:eastAsia="仿宋_GB2312" w:cs="Times New Roman"/>
          <w:color w:val="auto"/>
          <w:sz w:val="32"/>
          <w:szCs w:val="32"/>
          <w:lang w:eastAsia="zh-CN"/>
        </w:rPr>
        <w:t>增加我区新能源汽车充电桩设置</w:t>
      </w:r>
      <w:r>
        <w:rPr>
          <w:rFonts w:hint="default" w:ascii="Times New Roman" w:hAnsi="Times New Roman" w:eastAsia="仿宋_GB2312" w:cs="Times New Roman"/>
          <w:color w:val="auto"/>
          <w:sz w:val="32"/>
          <w:szCs w:val="32"/>
        </w:rPr>
        <w:t>的建议》收悉，</w:t>
      </w:r>
      <w:r>
        <w:rPr>
          <w:rFonts w:hint="eastAsia" w:eastAsia="仿宋_GB2312" w:cs="Times New Roman"/>
          <w:color w:val="auto"/>
          <w:sz w:val="32"/>
          <w:szCs w:val="32"/>
          <w:lang w:eastAsia="zh-CN"/>
        </w:rPr>
        <w:t>结合我区实际情况，</w:t>
      </w:r>
      <w:r>
        <w:rPr>
          <w:rFonts w:hint="default" w:ascii="Times New Roman" w:hAnsi="Times New Roman" w:eastAsia="仿宋_GB2312" w:cs="Times New Roman"/>
          <w:color w:val="auto"/>
          <w:sz w:val="32"/>
          <w:szCs w:val="32"/>
        </w:rPr>
        <w:t>现答复如下：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rPr>
          <w:rFonts w:hint="eastAsia" w:eastAsia="仿宋_GB2312"/>
          <w:color w:val="auto"/>
          <w:sz w:val="32"/>
          <w:szCs w:val="32"/>
          <w:lang w:eastAsia="zh-CN"/>
        </w:rPr>
      </w:pPr>
      <w:r>
        <w:rPr>
          <w:rFonts w:hint="default" w:ascii="Times New Roman" w:hAnsi="Times New Roman" w:eastAsia="仿宋_GB2312" w:cs="Times New Roman"/>
          <w:b w:val="0"/>
          <w:bCs/>
          <w:color w:val="000000"/>
          <w:sz w:val="32"/>
          <w:lang w:val="en-US" w:eastAsia="zh-CN"/>
        </w:rPr>
        <w:t>首先感谢您对我区</w:t>
      </w:r>
      <w:r>
        <w:rPr>
          <w:rFonts w:hint="eastAsia" w:ascii="Times New Roman" w:hAnsi="Times New Roman" w:eastAsia="仿宋_GB2312" w:cs="Times New Roman"/>
          <w:color w:val="auto"/>
          <w:sz w:val="32"/>
          <w:szCs w:val="32"/>
          <w:lang w:eastAsia="zh-CN"/>
        </w:rPr>
        <w:t>新能源汽车充电桩建设</w:t>
      </w:r>
      <w:r>
        <w:rPr>
          <w:rFonts w:hint="eastAsia" w:ascii="Times New Roman" w:hAnsi="Times New Roman" w:eastAsia="仿宋_GB2312" w:cs="Times New Roman"/>
          <w:b w:val="0"/>
          <w:bCs/>
          <w:color w:val="000000"/>
          <w:sz w:val="32"/>
          <w:lang w:val="en-US" w:eastAsia="zh-CN"/>
        </w:rPr>
        <w:t>工作的关心</w:t>
      </w:r>
      <w:r>
        <w:rPr>
          <w:rFonts w:hint="eastAsia" w:eastAsia="仿宋_GB2312" w:cs="Times New Roman"/>
          <w:b w:val="0"/>
          <w:bCs/>
          <w:color w:val="000000"/>
          <w:sz w:val="32"/>
          <w:lang w:val="en-US" w:eastAsia="zh-CN"/>
        </w:rPr>
        <w:t>支持</w:t>
      </w:r>
      <w:r>
        <w:rPr>
          <w:rFonts w:hint="eastAsia" w:eastAsia="仿宋_GB2312"/>
          <w:color w:val="auto"/>
          <w:sz w:val="32"/>
          <w:szCs w:val="32"/>
        </w:rPr>
        <w:t>，近年来，随着人们环保意识的不断增强和新能源产业的快速发展，越来越多的人将新能源汽车作为出行交通工具</w:t>
      </w:r>
      <w:r>
        <w:rPr>
          <w:rFonts w:hint="eastAsia" w:eastAsia="仿宋_GB2312"/>
          <w:color w:val="auto"/>
          <w:sz w:val="32"/>
          <w:szCs w:val="32"/>
          <w:lang w:eastAsia="zh-CN"/>
        </w:rPr>
        <w:t>。因此，</w:t>
      </w:r>
      <w:r>
        <w:rPr>
          <w:rFonts w:hint="eastAsia" w:eastAsia="仿宋_GB2312"/>
          <w:color w:val="auto"/>
          <w:sz w:val="32"/>
          <w:szCs w:val="32"/>
        </w:rPr>
        <w:t>为解决新能源汽车充电问题，</w:t>
      </w:r>
      <w:r>
        <w:rPr>
          <w:rFonts w:hint="eastAsia" w:eastAsia="仿宋_GB2312"/>
          <w:color w:val="auto"/>
          <w:sz w:val="32"/>
          <w:szCs w:val="32"/>
          <w:lang w:eastAsia="zh-CN"/>
        </w:rPr>
        <w:t>大力</w:t>
      </w:r>
      <w:r>
        <w:rPr>
          <w:rFonts w:hint="eastAsia" w:ascii="仿宋_GB2312" w:hAnsi="仿宋_GB2312" w:eastAsia="仿宋_GB2312" w:cs="仿宋_GB2312"/>
          <w:color w:val="000000"/>
          <w:sz w:val="32"/>
          <w:szCs w:val="32"/>
        </w:rPr>
        <w:t>推进</w:t>
      </w:r>
      <w:r>
        <w:rPr>
          <w:rFonts w:hint="eastAsia" w:ascii="仿宋_GB2312" w:hAnsi="仿宋_GB2312" w:eastAsia="仿宋_GB2312" w:cs="仿宋_GB2312"/>
          <w:color w:val="000000"/>
          <w:sz w:val="32"/>
          <w:szCs w:val="32"/>
          <w:lang w:eastAsia="zh-CN"/>
        </w:rPr>
        <w:t>新能源汽车</w:t>
      </w:r>
      <w:r>
        <w:rPr>
          <w:rFonts w:hint="eastAsia" w:ascii="仿宋_GB2312" w:hAnsi="仿宋_GB2312" w:eastAsia="仿宋_GB2312" w:cs="仿宋_GB2312"/>
          <w:color w:val="000000"/>
          <w:sz w:val="32"/>
          <w:szCs w:val="32"/>
        </w:rPr>
        <w:t>充电</w:t>
      </w:r>
      <w:r>
        <w:rPr>
          <w:rFonts w:hint="eastAsia" w:ascii="仿宋_GB2312" w:hAnsi="仿宋_GB2312" w:eastAsia="仿宋_GB2312" w:cs="仿宋_GB2312"/>
          <w:color w:val="000000"/>
          <w:sz w:val="32"/>
          <w:szCs w:val="32"/>
          <w:lang w:eastAsia="zh-CN"/>
        </w:rPr>
        <w:t>桩</w:t>
      </w:r>
      <w:r>
        <w:rPr>
          <w:rFonts w:hint="eastAsia" w:ascii="仿宋_GB2312" w:hAnsi="仿宋_GB2312" w:eastAsia="仿宋_GB2312" w:cs="仿宋_GB2312"/>
          <w:color w:val="000000"/>
          <w:sz w:val="32"/>
          <w:szCs w:val="32"/>
        </w:rPr>
        <w:t>建设符合新能源汽车发展的需要，是完善城市</w:t>
      </w:r>
      <w:r>
        <w:rPr>
          <w:rFonts w:hint="eastAsia" w:ascii="仿宋_GB2312" w:hAnsi="仿宋_GB2312" w:eastAsia="仿宋_GB2312" w:cs="仿宋_GB2312"/>
          <w:color w:val="000000"/>
          <w:sz w:val="32"/>
          <w:szCs w:val="32"/>
          <w:lang w:eastAsia="zh-CN"/>
        </w:rPr>
        <w:t>桩</w:t>
      </w:r>
      <w:r>
        <w:rPr>
          <w:rFonts w:hint="eastAsia" w:ascii="仿宋_GB2312" w:hAnsi="仿宋_GB2312" w:eastAsia="仿宋_GB2312" w:cs="仿宋_GB2312"/>
          <w:color w:val="000000"/>
          <w:sz w:val="32"/>
          <w:szCs w:val="32"/>
        </w:rPr>
        <w:t>、方便群众出行、促进城市低碳发展的有效举措。</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cs="Times New Roman"/>
          <w:b w:val="0"/>
          <w:bCs/>
          <w:color w:val="000000"/>
          <w:sz w:val="32"/>
          <w:lang w:val="en-US" w:eastAsia="zh-CN"/>
        </w:rPr>
        <w:t>为推进新能源汽车充电桩建设工作，我区开展了大量工作。截至目前，</w:t>
      </w:r>
      <w:r>
        <w:rPr>
          <w:rFonts w:hint="eastAsia" w:ascii="仿宋_GB2312" w:hAnsi="仿宋_GB2312" w:eastAsia="仿宋_GB2312" w:cs="仿宋_GB2312"/>
          <w:color w:val="000000"/>
          <w:sz w:val="32"/>
          <w:szCs w:val="32"/>
        </w:rPr>
        <w:t>全</w:t>
      </w:r>
      <w:r>
        <w:rPr>
          <w:rFonts w:hint="eastAsia" w:ascii="仿宋_GB2312" w:hAnsi="仿宋_GB2312" w:eastAsia="仿宋_GB2312" w:cs="仿宋_GB2312"/>
          <w:color w:val="000000"/>
          <w:sz w:val="32"/>
          <w:szCs w:val="32"/>
          <w:lang w:eastAsia="zh-CN"/>
        </w:rPr>
        <w:t>区</w:t>
      </w:r>
      <w:r>
        <w:rPr>
          <w:rFonts w:hint="eastAsia" w:ascii="仿宋_GB2312" w:hAnsi="仿宋_GB2312" w:eastAsia="仿宋_GB2312" w:cs="仿宋_GB2312"/>
          <w:color w:val="000000"/>
          <w:sz w:val="32"/>
          <w:szCs w:val="32"/>
        </w:rPr>
        <w:t>累计建成各类充电站</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座，其中公交</w:t>
      </w:r>
      <w:r>
        <w:rPr>
          <w:rFonts w:hint="eastAsia" w:ascii="仿宋_GB2312" w:hAnsi="仿宋_GB2312" w:eastAsia="仿宋_GB2312" w:cs="仿宋_GB2312"/>
          <w:color w:val="000000"/>
          <w:sz w:val="32"/>
          <w:szCs w:val="32"/>
          <w:lang w:eastAsia="zh-CN"/>
        </w:rPr>
        <w:t>车</w:t>
      </w:r>
      <w:r>
        <w:rPr>
          <w:rFonts w:hint="eastAsia" w:ascii="仿宋_GB2312" w:hAnsi="仿宋_GB2312" w:eastAsia="仿宋_GB2312" w:cs="仿宋_GB2312"/>
          <w:color w:val="000000"/>
          <w:sz w:val="32"/>
          <w:szCs w:val="32"/>
        </w:rPr>
        <w:t>充换电站1座，环卫与物流等专用车充电站</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座，城市公共充电站</w:t>
      </w: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座；建成各类充电桩共</w:t>
      </w:r>
      <w:r>
        <w:rPr>
          <w:rFonts w:hint="eastAsia" w:ascii="仿宋_GB2312" w:hAnsi="仿宋_GB2312" w:eastAsia="仿宋_GB2312" w:cs="仿宋_GB2312"/>
          <w:color w:val="000000"/>
          <w:sz w:val="32"/>
          <w:szCs w:val="32"/>
          <w:lang w:val="en-US" w:eastAsia="zh-CN"/>
        </w:rPr>
        <w:t>90</w:t>
      </w:r>
      <w:r>
        <w:rPr>
          <w:rFonts w:hint="eastAsia" w:ascii="仿宋_GB2312" w:hAnsi="仿宋_GB2312" w:eastAsia="仿宋_GB2312" w:cs="仿宋_GB2312"/>
          <w:color w:val="000000"/>
          <w:sz w:val="32"/>
          <w:szCs w:val="32"/>
        </w:rPr>
        <w:t>个，其中公交车专用充电桩</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个，环卫与物流等专用车充电桩2</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个，城市公共充电桩</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6个</w:t>
      </w:r>
      <w:r>
        <w:rPr>
          <w:rFonts w:hint="eastAsia" w:ascii="仿宋_GB2312" w:hAnsi="仿宋_GB2312" w:eastAsia="仿宋_GB2312" w:cs="仿宋_GB2312"/>
          <w:color w:val="000000"/>
          <w:sz w:val="32"/>
          <w:szCs w:val="32"/>
          <w:lang w:eastAsia="zh-CN"/>
        </w:rPr>
        <w:t>，企业单位专用充电桩</w:t>
      </w:r>
      <w:r>
        <w:rPr>
          <w:rFonts w:hint="eastAsia" w:ascii="仿宋_GB2312" w:hAnsi="仿宋_GB2312" w:eastAsia="仿宋_GB2312" w:cs="仿宋_GB2312"/>
          <w:color w:val="000000"/>
          <w:sz w:val="32"/>
          <w:szCs w:val="32"/>
          <w:lang w:val="en-US" w:eastAsia="zh-CN"/>
        </w:rPr>
        <w:t>39个</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主要分布在</w:t>
      </w:r>
      <w:r>
        <w:rPr>
          <w:rFonts w:hint="eastAsia" w:eastAsia="仿宋_GB2312"/>
          <w:color w:val="auto"/>
          <w:sz w:val="32"/>
          <w:szCs w:val="32"/>
        </w:rPr>
        <w:t>区政府停车场、古商城停车场、万梦众创新能源汽车产业园、万梦五洲国际、城东供电所、永安供电所、南闫供电所、特来电新能源公司、东陈村榴园小区</w:t>
      </w:r>
      <w:r>
        <w:rPr>
          <w:rFonts w:hint="eastAsia" w:eastAsia="仿宋_GB2312"/>
          <w:color w:val="auto"/>
          <w:sz w:val="32"/>
          <w:szCs w:val="32"/>
          <w:lang w:eastAsia="zh-CN"/>
        </w:rPr>
        <w:t>、新能源汽车销售企业院区</w:t>
      </w:r>
      <w:r>
        <w:rPr>
          <w:rFonts w:hint="eastAsia" w:ascii="仿宋_GB2312" w:hAnsi="仿宋_GB2312" w:eastAsia="仿宋_GB2312" w:cs="仿宋_GB2312"/>
          <w:color w:val="000000"/>
          <w:sz w:val="32"/>
          <w:szCs w:val="32"/>
        </w:rPr>
        <w:t>等地。</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rPr>
          <w:rFonts w:hint="eastAsia" w:eastAsia="仿宋_GB2312"/>
          <w:color w:val="auto"/>
          <w:sz w:val="32"/>
          <w:szCs w:val="32"/>
          <w:lang w:eastAsia="zh-CN"/>
        </w:rPr>
      </w:pPr>
      <w:r>
        <w:rPr>
          <w:rFonts w:hint="eastAsia" w:ascii="Times New Roman" w:hAnsi="Times New Roman" w:eastAsia="仿宋_GB2312" w:cs="Times New Roman"/>
          <w:b w:val="0"/>
          <w:bCs/>
          <w:color w:val="000000"/>
          <w:sz w:val="32"/>
          <w:lang w:val="en-US" w:eastAsia="zh-CN"/>
        </w:rPr>
        <w:t>到今年年底，要完成全区新能源汽车充电桩数量达到101个的目标任务。目前，区供电中心已在南郊镇申通物流园投资建设一个公共充电站，计划先期建设6个充电桩，后期视情况予以增加，现在正在施工当中；</w:t>
      </w:r>
      <w:r>
        <w:rPr>
          <w:rFonts w:hint="eastAsia" w:eastAsia="仿宋_GB2312"/>
          <w:color w:val="auto"/>
          <w:sz w:val="32"/>
          <w:szCs w:val="32"/>
        </w:rPr>
        <w:t>特来电新能源公司</w:t>
      </w:r>
      <w:r>
        <w:rPr>
          <w:rFonts w:hint="eastAsia" w:eastAsia="仿宋_GB2312"/>
          <w:color w:val="auto"/>
          <w:sz w:val="32"/>
          <w:szCs w:val="32"/>
          <w:lang w:eastAsia="zh-CN"/>
        </w:rPr>
        <w:t>正在与盛世国际方面进行对接，谋划新能源汽车充电桩建设项目。</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rPr>
          <w:rFonts w:eastAsia="仿宋_GB2312"/>
          <w:color w:val="auto"/>
          <w:sz w:val="32"/>
          <w:szCs w:val="32"/>
        </w:rPr>
      </w:pPr>
      <w:r>
        <w:rPr>
          <w:rFonts w:hint="eastAsia" w:eastAsia="仿宋_GB2312"/>
          <w:color w:val="auto"/>
          <w:sz w:val="32"/>
          <w:szCs w:val="32"/>
          <w:lang w:eastAsia="zh-CN"/>
        </w:rPr>
        <w:t>今后</w:t>
      </w:r>
      <w:r>
        <w:rPr>
          <w:rFonts w:hint="eastAsia" w:eastAsia="仿宋_GB2312"/>
          <w:color w:val="auto"/>
          <w:sz w:val="32"/>
          <w:szCs w:val="32"/>
        </w:rPr>
        <w:t>，我们将在以下几个方面加大工作力度：</w:t>
      </w:r>
    </w:p>
    <w:p>
      <w:pPr>
        <w:keepNext w:val="0"/>
        <w:keepLines w:val="0"/>
        <w:pageBreakBefore w:val="0"/>
        <w:widowControl w:val="0"/>
        <w:kinsoku/>
        <w:overflowPunct/>
        <w:topLinePunct w:val="0"/>
        <w:autoSpaceDE/>
        <w:autoSpaceDN/>
        <w:bidi w:val="0"/>
        <w:adjustRightInd/>
        <w:snapToGrid/>
        <w:spacing w:line="560" w:lineRule="exact"/>
        <w:ind w:firstLine="640" w:firstLineChars="200"/>
        <w:jc w:val="left"/>
        <w:rPr>
          <w:rFonts w:eastAsia="仿宋_GB2312"/>
          <w:kern w:val="21"/>
          <w:sz w:val="32"/>
          <w:szCs w:val="32"/>
        </w:rPr>
      </w:pPr>
      <w:r>
        <w:rPr>
          <w:rFonts w:hint="eastAsia" w:ascii="黑体" w:hAnsi="黑体" w:eastAsia="黑体"/>
          <w:color w:val="auto"/>
          <w:sz w:val="32"/>
          <w:szCs w:val="32"/>
        </w:rPr>
        <w:t>一、完善</w:t>
      </w:r>
      <w:r>
        <w:rPr>
          <w:rFonts w:hint="eastAsia" w:ascii="黑体" w:hAnsi="黑体" w:eastAsia="黑体"/>
          <w:color w:val="auto"/>
          <w:sz w:val="32"/>
          <w:szCs w:val="32"/>
          <w:lang w:eastAsia="zh-CN"/>
        </w:rPr>
        <w:t>新能源汽车</w:t>
      </w:r>
      <w:r>
        <w:rPr>
          <w:rFonts w:hint="eastAsia" w:ascii="黑体" w:hAnsi="黑体" w:eastAsia="黑体"/>
          <w:color w:val="auto"/>
          <w:sz w:val="32"/>
          <w:szCs w:val="32"/>
        </w:rPr>
        <w:t>充电基础设施建设布局。</w:t>
      </w:r>
      <w:r>
        <w:rPr>
          <w:rFonts w:hint="eastAsia" w:eastAsia="仿宋_GB2312"/>
          <w:color w:val="auto"/>
          <w:sz w:val="32"/>
          <w:szCs w:val="32"/>
          <w:lang w:eastAsia="zh-CN"/>
        </w:rPr>
        <w:t>根据省级多部门联合印发的</w:t>
      </w:r>
      <w:r>
        <w:rPr>
          <w:rFonts w:hint="eastAsia" w:eastAsia="仿宋_GB2312"/>
          <w:color w:val="auto"/>
          <w:sz w:val="32"/>
          <w:szCs w:val="32"/>
        </w:rPr>
        <w:t>《关于进一步加强和规范我省电动汽车充电基础设施建设运营管理的实施意见》</w:t>
      </w:r>
      <w:r>
        <w:rPr>
          <w:rFonts w:hint="eastAsia" w:eastAsia="仿宋_GB2312"/>
          <w:color w:val="auto"/>
          <w:sz w:val="32"/>
          <w:szCs w:val="32"/>
          <w:lang w:eastAsia="zh-CN"/>
        </w:rPr>
        <w:t>（鲁发改能源</w:t>
      </w:r>
      <w:r>
        <w:rPr>
          <w:rFonts w:hint="eastAsia" w:eastAsia="仿宋_GB2312"/>
          <w:color w:val="auto"/>
          <w:sz w:val="32"/>
          <w:szCs w:val="32"/>
        </w:rPr>
        <w:t>〔201</w:t>
      </w:r>
      <w:r>
        <w:rPr>
          <w:rFonts w:hint="eastAsia" w:eastAsia="仿宋_GB2312"/>
          <w:color w:val="auto"/>
          <w:sz w:val="32"/>
          <w:szCs w:val="32"/>
          <w:lang w:val="en-US" w:eastAsia="zh-CN"/>
        </w:rPr>
        <w:t>9</w:t>
      </w:r>
      <w:r>
        <w:rPr>
          <w:rFonts w:hint="eastAsia" w:eastAsia="仿宋_GB2312"/>
          <w:color w:val="auto"/>
          <w:sz w:val="32"/>
          <w:szCs w:val="32"/>
        </w:rPr>
        <w:t>〕</w:t>
      </w:r>
      <w:r>
        <w:rPr>
          <w:rFonts w:hint="eastAsia" w:eastAsia="仿宋_GB2312"/>
          <w:color w:val="auto"/>
          <w:sz w:val="32"/>
          <w:szCs w:val="32"/>
          <w:lang w:val="en-US" w:eastAsia="zh-CN"/>
        </w:rPr>
        <w:t>1183号</w:t>
      </w:r>
      <w:r>
        <w:rPr>
          <w:rFonts w:hint="eastAsia" w:eastAsia="仿宋_GB2312"/>
          <w:color w:val="auto"/>
          <w:sz w:val="32"/>
          <w:szCs w:val="32"/>
          <w:lang w:eastAsia="zh-CN"/>
        </w:rPr>
        <w:t>）规定，到</w:t>
      </w:r>
      <w:r>
        <w:rPr>
          <w:rFonts w:hint="eastAsia" w:eastAsia="仿宋_GB2312"/>
          <w:color w:val="auto"/>
          <w:sz w:val="32"/>
          <w:szCs w:val="32"/>
          <w:lang w:val="en-US" w:eastAsia="zh-CN"/>
        </w:rPr>
        <w:t>2022年底前，公共停车场充电基础设施占车位比例不得低于15%，新建大型公共建筑物停车场、社会公共停车场、公共文化娱乐场所停车场，按不低于15%的车位比例建设充电基础设施，达不到比例的，规划部门不予审批，竣工验收（竣工验收备案）不予通过。</w:t>
      </w:r>
      <w:r>
        <w:rPr>
          <w:rFonts w:hint="eastAsia" w:eastAsia="仿宋_GB2312"/>
          <w:color w:val="auto"/>
          <w:sz w:val="32"/>
          <w:szCs w:val="32"/>
        </w:rPr>
        <w:t>我们将及时掌握上级最新政策，积极做好资金政策等对上争取工作</w:t>
      </w:r>
      <w:r>
        <w:rPr>
          <w:rFonts w:hint="eastAsia" w:eastAsia="仿宋_GB2312"/>
          <w:kern w:val="21"/>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lang w:eastAsia="zh-CN"/>
        </w:rPr>
        <w:t>二、</w:t>
      </w:r>
      <w:r>
        <w:rPr>
          <w:rFonts w:hint="eastAsia" w:ascii="黑体" w:hAnsi="黑体" w:eastAsia="黑体" w:cs="黑体"/>
          <w:color w:val="000000"/>
          <w:sz w:val="32"/>
          <w:szCs w:val="32"/>
        </w:rPr>
        <w:t>加强充电设施的日常使用管理</w:t>
      </w:r>
      <w:r>
        <w:rPr>
          <w:rFonts w:hint="eastAsia" w:ascii="黑体" w:hAnsi="黑体" w:eastAsia="黑体" w:cs="黑体"/>
          <w:color w:val="000000"/>
          <w:sz w:val="32"/>
          <w:szCs w:val="32"/>
          <w:lang w:eastAsia="zh-CN"/>
        </w:rPr>
        <w:t>。</w:t>
      </w:r>
      <w:r>
        <w:rPr>
          <w:rFonts w:hint="eastAsia" w:ascii="仿宋_GB2312" w:hAnsi="仿宋_GB2312" w:eastAsia="仿宋_GB2312" w:cs="仿宋_GB2312"/>
          <w:color w:val="000000"/>
          <w:sz w:val="32"/>
          <w:szCs w:val="32"/>
        </w:rPr>
        <w:t>在停车场设置完备的充电设施和电动汽车专用泊位标志标识，加强对燃油车与电动汽车的分类停车引导，督促充电设施建设运营企业建立充电</w:t>
      </w:r>
      <w:r>
        <w:rPr>
          <w:rFonts w:hint="eastAsia" w:ascii="仿宋_GB2312" w:hAnsi="仿宋_GB2312" w:eastAsia="仿宋_GB2312" w:cs="仿宋_GB2312"/>
          <w:color w:val="000000"/>
          <w:sz w:val="32"/>
          <w:szCs w:val="32"/>
          <w:lang w:eastAsia="zh-CN"/>
        </w:rPr>
        <w:t>桩</w:t>
      </w:r>
      <w:r>
        <w:rPr>
          <w:rFonts w:hint="eastAsia" w:ascii="仿宋_GB2312" w:hAnsi="仿宋_GB2312" w:eastAsia="仿宋_GB2312" w:cs="仿宋_GB2312"/>
          <w:color w:val="000000"/>
          <w:sz w:val="32"/>
          <w:szCs w:val="32"/>
        </w:rPr>
        <w:t>巡检制度。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黑体" w:hAnsi="黑体" w:eastAsia="黑体" w:cs="黑体"/>
          <w:color w:val="000000"/>
          <w:sz w:val="32"/>
          <w:szCs w:val="32"/>
          <w:lang w:eastAsia="zh-CN"/>
        </w:rPr>
        <w:t>三、</w:t>
      </w:r>
      <w:r>
        <w:rPr>
          <w:rFonts w:hint="eastAsia" w:ascii="黑体" w:hAnsi="黑体" w:eastAsia="黑体" w:cs="黑体"/>
          <w:color w:val="000000"/>
          <w:sz w:val="32"/>
          <w:szCs w:val="32"/>
        </w:rPr>
        <w:t>规范充电设施建设标准。</w:t>
      </w:r>
      <w:r>
        <w:rPr>
          <w:rFonts w:hint="eastAsia" w:ascii="仿宋_GB2312" w:hAnsi="仿宋_GB2312" w:eastAsia="仿宋_GB2312" w:cs="仿宋_GB2312"/>
          <w:color w:val="000000"/>
          <w:sz w:val="32"/>
          <w:szCs w:val="32"/>
        </w:rPr>
        <w:t>充电</w:t>
      </w:r>
      <w:r>
        <w:rPr>
          <w:rFonts w:hint="eastAsia" w:ascii="仿宋_GB2312" w:hAnsi="仿宋_GB2312" w:eastAsia="仿宋_GB2312" w:cs="仿宋_GB2312"/>
          <w:color w:val="000000"/>
          <w:sz w:val="32"/>
          <w:szCs w:val="32"/>
          <w:lang w:eastAsia="zh-CN"/>
        </w:rPr>
        <w:t>桩</w:t>
      </w:r>
      <w:r>
        <w:rPr>
          <w:rFonts w:hint="eastAsia" w:ascii="仿宋_GB2312" w:hAnsi="仿宋_GB2312" w:eastAsia="仿宋_GB2312" w:cs="仿宋_GB2312"/>
          <w:color w:val="000000"/>
          <w:sz w:val="32"/>
          <w:szCs w:val="32"/>
        </w:rPr>
        <w:t>建设单位须按照国家行业或地方标准进行建设、检测和验收。领取财政补贴的充电</w:t>
      </w:r>
      <w:r>
        <w:rPr>
          <w:rFonts w:hint="eastAsia" w:ascii="仿宋_GB2312" w:hAnsi="仿宋_GB2312" w:eastAsia="仿宋_GB2312" w:cs="仿宋_GB2312"/>
          <w:color w:val="000000"/>
          <w:sz w:val="32"/>
          <w:szCs w:val="32"/>
          <w:lang w:eastAsia="zh-CN"/>
        </w:rPr>
        <w:t>桩</w:t>
      </w:r>
      <w:r>
        <w:rPr>
          <w:rFonts w:hint="eastAsia" w:ascii="仿宋_GB2312" w:hAnsi="仿宋_GB2312" w:eastAsia="仿宋_GB2312" w:cs="仿宋_GB2312"/>
          <w:color w:val="000000"/>
          <w:sz w:val="32"/>
          <w:szCs w:val="32"/>
        </w:rPr>
        <w:t>接入平台，接受政府监管。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000000"/>
          <w:sz w:val="32"/>
          <w:lang w:val="en-US" w:eastAsia="zh-CN"/>
        </w:rPr>
      </w:pPr>
      <w:r>
        <w:rPr>
          <w:rFonts w:hint="eastAsia" w:ascii="黑体" w:hAnsi="黑体" w:eastAsia="黑体" w:cs="黑体"/>
          <w:color w:val="000000"/>
          <w:sz w:val="32"/>
          <w:szCs w:val="32"/>
          <w:lang w:eastAsia="zh-CN"/>
        </w:rPr>
        <w:t>四、</w:t>
      </w:r>
      <w:r>
        <w:rPr>
          <w:rFonts w:hint="eastAsia" w:ascii="黑体" w:hAnsi="黑体" w:eastAsia="黑体" w:cs="黑体"/>
          <w:color w:val="000000"/>
          <w:sz w:val="32"/>
          <w:szCs w:val="32"/>
        </w:rPr>
        <w:t>推进配套电网工程建设。</w:t>
      </w:r>
      <w:r>
        <w:rPr>
          <w:rFonts w:hint="eastAsia" w:ascii="仿宋_GB2312" w:hAnsi="仿宋_GB2312" w:eastAsia="仿宋_GB2312" w:cs="仿宋_GB2312"/>
          <w:color w:val="000000"/>
          <w:sz w:val="32"/>
          <w:szCs w:val="32"/>
        </w:rPr>
        <w:t>电网企业做好相关电力设施改造和建设工作，负责从产权分界点至公共电网的配套电网工程建设和运行维护。电力接入有关要求，按山东省“简化获得电力”专项行动政策规定执行</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b w:val="0"/>
          <w:bCs/>
          <w:color w:val="000000"/>
          <w:sz w:val="32"/>
          <w:lang w:val="en-US" w:eastAsia="zh-CN"/>
        </w:rPr>
        <w:t>再次感谢您对我</w:t>
      </w:r>
      <w:r>
        <w:rPr>
          <w:rFonts w:hint="eastAsia" w:ascii="Times New Roman" w:hAnsi="Times New Roman" w:eastAsia="仿宋_GB2312" w:cs="Times New Roman"/>
          <w:b w:val="0"/>
          <w:bCs/>
          <w:color w:val="000000"/>
          <w:sz w:val="32"/>
          <w:lang w:val="en-US" w:eastAsia="zh-CN"/>
        </w:rPr>
        <w:t>区电力设施宣传和保护工作</w:t>
      </w:r>
      <w:r>
        <w:rPr>
          <w:rFonts w:hint="default" w:ascii="Times New Roman" w:hAnsi="Times New Roman" w:eastAsia="仿宋_GB2312" w:cs="Times New Roman"/>
          <w:b w:val="0"/>
          <w:bCs/>
          <w:color w:val="000000"/>
          <w:sz w:val="32"/>
          <w:lang w:val="en-US" w:eastAsia="zh-CN"/>
        </w:rPr>
        <w:t>的关心，希望您以后多提宝贵意见</w:t>
      </w:r>
      <w:r>
        <w:rPr>
          <w:rFonts w:hint="eastAsia" w:ascii="Times New Roman" w:hAnsi="Times New Roman" w:eastAsia="仿宋_GB2312" w:cs="Times New Roman"/>
          <w:b w:val="0"/>
          <w:bCs/>
          <w:color w:val="000000"/>
          <w:sz w:val="32"/>
          <w:lang w:val="en-US" w:eastAsia="zh-CN"/>
        </w:rPr>
        <w:t>。</w:t>
      </w:r>
    </w:p>
    <w:p>
      <w:pPr>
        <w:keepNext w:val="0"/>
        <w:keepLines w:val="0"/>
        <w:pageBreakBefore w:val="0"/>
        <w:widowControl w:val="0"/>
        <w:kinsoku/>
        <w:overflowPunct/>
        <w:topLinePunct w:val="0"/>
        <w:autoSpaceDE/>
        <w:autoSpaceDN/>
        <w:bidi w:val="0"/>
        <w:adjustRightInd/>
        <w:snapToGrid/>
        <w:spacing w:line="560" w:lineRule="exact"/>
        <w:jc w:val="left"/>
        <w:rPr>
          <w:rFonts w:eastAsia="仿宋_GB2312"/>
          <w:color w:val="auto"/>
          <w:sz w:val="32"/>
          <w:szCs w:val="32"/>
        </w:rPr>
      </w:pPr>
    </w:p>
    <w:p>
      <w:pPr>
        <w:keepNext w:val="0"/>
        <w:keepLines w:val="0"/>
        <w:pageBreakBefore w:val="0"/>
        <w:widowControl w:val="0"/>
        <w:kinsoku/>
        <w:overflowPunct/>
        <w:topLinePunct w:val="0"/>
        <w:autoSpaceDE/>
        <w:autoSpaceDN/>
        <w:bidi w:val="0"/>
        <w:adjustRightInd/>
        <w:snapToGrid/>
        <w:spacing w:line="560" w:lineRule="exact"/>
        <w:jc w:val="left"/>
        <w:rPr>
          <w:rFonts w:eastAsia="仿宋_GB2312"/>
          <w:color w:val="auto"/>
          <w:sz w:val="32"/>
          <w:szCs w:val="32"/>
        </w:rPr>
      </w:pPr>
    </w:p>
    <w:p>
      <w:pPr>
        <w:keepNext w:val="0"/>
        <w:keepLines w:val="0"/>
        <w:pageBreakBefore w:val="0"/>
        <w:widowControl w:val="0"/>
        <w:kinsoku/>
        <w:wordWrap w:val="0"/>
        <w:overflowPunct/>
        <w:topLinePunct w:val="0"/>
        <w:autoSpaceDE/>
        <w:autoSpaceDN/>
        <w:bidi w:val="0"/>
        <w:adjustRightInd/>
        <w:snapToGrid/>
        <w:spacing w:line="560" w:lineRule="exact"/>
        <w:jc w:val="right"/>
        <w:rPr>
          <w:rFonts w:eastAsia="仿宋_GB2312"/>
          <w:color w:val="auto"/>
          <w:sz w:val="32"/>
          <w:szCs w:val="32"/>
        </w:rPr>
      </w:pPr>
      <w:r>
        <w:rPr>
          <w:rFonts w:hint="eastAsia" w:eastAsia="仿宋_GB2312"/>
          <w:color w:val="auto"/>
          <w:sz w:val="32"/>
          <w:szCs w:val="32"/>
        </w:rPr>
        <w:t xml:space="preserve">周村区发展和改革局      </w:t>
      </w:r>
    </w:p>
    <w:p>
      <w:pPr>
        <w:keepNext w:val="0"/>
        <w:keepLines w:val="0"/>
        <w:pageBreakBefore w:val="0"/>
        <w:widowControl w:val="0"/>
        <w:kinsoku/>
        <w:wordWrap w:val="0"/>
        <w:overflowPunct/>
        <w:topLinePunct w:val="0"/>
        <w:autoSpaceDE/>
        <w:autoSpaceDN/>
        <w:bidi w:val="0"/>
        <w:adjustRightInd/>
        <w:snapToGrid/>
        <w:spacing w:line="560" w:lineRule="exact"/>
        <w:jc w:val="right"/>
        <w:rPr>
          <w:rFonts w:eastAsia="仿宋_GB2312"/>
          <w:color w:val="auto"/>
          <w:sz w:val="32"/>
          <w:szCs w:val="32"/>
        </w:rPr>
      </w:pPr>
      <w:r>
        <w:rPr>
          <w:rFonts w:hint="eastAsia" w:eastAsia="仿宋_GB2312"/>
          <w:color w:val="auto"/>
          <w:sz w:val="32"/>
          <w:szCs w:val="32"/>
        </w:rPr>
        <w:t>20</w:t>
      </w:r>
      <w:r>
        <w:rPr>
          <w:rFonts w:hint="eastAsia" w:eastAsia="仿宋_GB2312"/>
          <w:color w:val="auto"/>
          <w:sz w:val="32"/>
          <w:szCs w:val="32"/>
          <w:lang w:val="en-US" w:eastAsia="zh-CN"/>
        </w:rPr>
        <w:t>20</w:t>
      </w:r>
      <w:r>
        <w:rPr>
          <w:rFonts w:eastAsia="仿宋_GB2312"/>
          <w:color w:val="auto"/>
          <w:sz w:val="32"/>
          <w:szCs w:val="32"/>
        </w:rPr>
        <w:t>年</w:t>
      </w:r>
      <w:r>
        <w:rPr>
          <w:rFonts w:hint="eastAsia" w:eastAsia="仿宋_GB2312"/>
          <w:color w:val="auto"/>
          <w:sz w:val="32"/>
          <w:szCs w:val="32"/>
          <w:lang w:val="en-US" w:eastAsia="zh-CN"/>
        </w:rPr>
        <w:t>9</w:t>
      </w:r>
      <w:r>
        <w:rPr>
          <w:rFonts w:hint="eastAsia" w:eastAsia="仿宋_GB2312"/>
          <w:color w:val="auto"/>
          <w:sz w:val="32"/>
          <w:szCs w:val="32"/>
        </w:rPr>
        <w:t>月2</w:t>
      </w:r>
      <w:r>
        <w:rPr>
          <w:rFonts w:hint="eastAsia" w:eastAsia="仿宋_GB2312"/>
          <w:color w:val="auto"/>
          <w:sz w:val="32"/>
          <w:szCs w:val="32"/>
          <w:lang w:val="en-US" w:eastAsia="zh-CN"/>
        </w:rPr>
        <w:t>3</w:t>
      </w:r>
      <w:r>
        <w:rPr>
          <w:rFonts w:eastAsia="仿宋_GB2312"/>
          <w:color w:val="auto"/>
          <w:sz w:val="32"/>
          <w:szCs w:val="32"/>
        </w:rPr>
        <w:t>日</w:t>
      </w:r>
      <w:r>
        <w:rPr>
          <w:rFonts w:hint="eastAsia" w:eastAsia="仿宋_GB2312"/>
          <w:color w:val="auto"/>
          <w:sz w:val="32"/>
          <w:szCs w:val="32"/>
        </w:rPr>
        <w:t xml:space="preserve">       </w:t>
      </w:r>
    </w:p>
    <w:p>
      <w:pPr>
        <w:widowControl w:val="0"/>
        <w:spacing w:line="580" w:lineRule="exact"/>
        <w:rPr>
          <w:rFonts w:eastAsia="仿宋_GB2312"/>
          <w:color w:val="auto"/>
          <w:sz w:val="32"/>
          <w:szCs w:val="32"/>
        </w:rPr>
      </w:pPr>
    </w:p>
    <w:p>
      <w:pPr>
        <w:widowControl w:val="0"/>
        <w:spacing w:line="580" w:lineRule="exact"/>
        <w:rPr>
          <w:rFonts w:eastAsia="仿宋_GB2312"/>
          <w:color w:val="auto"/>
          <w:sz w:val="32"/>
          <w:szCs w:val="32"/>
        </w:rPr>
      </w:pPr>
      <w:bookmarkStart w:id="0" w:name="_GoBack"/>
      <w:bookmarkEnd w:id="0"/>
    </w:p>
    <w:p>
      <w:pPr>
        <w:widowControl w:val="0"/>
        <w:spacing w:line="580" w:lineRule="exact"/>
        <w:rPr>
          <w:rFonts w:eastAsia="仿宋_GB2312"/>
          <w:color w:val="auto"/>
          <w:sz w:val="32"/>
          <w:szCs w:val="32"/>
        </w:rPr>
      </w:pPr>
    </w:p>
    <w:p>
      <w:pPr>
        <w:widowControl w:val="0"/>
        <w:spacing w:line="580" w:lineRule="exact"/>
        <w:rPr>
          <w:rFonts w:eastAsia="仿宋_GB2312"/>
          <w:color w:val="auto"/>
          <w:sz w:val="32"/>
          <w:szCs w:val="32"/>
        </w:rPr>
      </w:pPr>
    </w:p>
    <w:p>
      <w:pPr>
        <w:widowControl w:val="0"/>
        <w:spacing w:line="580" w:lineRule="exact"/>
        <w:rPr>
          <w:rFonts w:eastAsia="仿宋_GB2312"/>
          <w:color w:val="auto"/>
          <w:sz w:val="32"/>
          <w:szCs w:val="32"/>
        </w:rPr>
      </w:pPr>
      <w:r>
        <w:rPr>
          <w:rFonts w:eastAsia="仿宋_GB2312"/>
          <w:color w:val="auto"/>
          <w:sz w:val="32"/>
          <w:szCs w:val="32"/>
        </w:rPr>
        <w:t>联系</w:t>
      </w:r>
      <w:r>
        <w:rPr>
          <w:rFonts w:hint="eastAsia" w:eastAsia="仿宋_GB2312"/>
          <w:color w:val="auto"/>
          <w:sz w:val="32"/>
          <w:szCs w:val="32"/>
          <w:lang w:eastAsia="zh-CN"/>
        </w:rPr>
        <w:t>单位及电话</w:t>
      </w:r>
      <w:r>
        <w:rPr>
          <w:rFonts w:eastAsia="仿宋_GB2312"/>
          <w:color w:val="auto"/>
          <w:sz w:val="32"/>
          <w:szCs w:val="32"/>
        </w:rPr>
        <w:t>：</w:t>
      </w:r>
      <w:r>
        <w:rPr>
          <w:rFonts w:hint="eastAsia" w:eastAsia="仿宋_GB2312"/>
          <w:color w:val="auto"/>
          <w:sz w:val="32"/>
          <w:szCs w:val="32"/>
          <w:lang w:eastAsia="zh-CN"/>
        </w:rPr>
        <w:t>区发展改革局</w:t>
      </w:r>
      <w:r>
        <w:rPr>
          <w:rFonts w:hint="eastAsia" w:eastAsia="仿宋_GB2312"/>
          <w:color w:val="auto"/>
          <w:sz w:val="32"/>
          <w:szCs w:val="32"/>
          <w:lang w:val="en-US" w:eastAsia="zh-CN"/>
        </w:rPr>
        <w:t xml:space="preserve">  6195397</w:t>
      </w:r>
    </w:p>
    <w:p>
      <w:pPr>
        <w:spacing w:line="580" w:lineRule="exact"/>
      </w:pPr>
      <w:r>
        <w:rPr>
          <w:rFonts w:hint="default" w:ascii="Times New Roman" w:hAnsi="Times New Roman" w:eastAsia="仿宋_GB2312" w:cs="Times New Roman"/>
          <w:sz w:val="32"/>
          <w:szCs w:val="32"/>
        </w:rPr>
        <w:t>抄送：区人大常委会人事代表工作委员会、区政府办公室。</w:t>
      </w:r>
    </w:p>
    <w:sectPr>
      <w:footerReference r:id="rId3" w:type="default"/>
      <w:pgSz w:w="11906" w:h="16838"/>
      <w:pgMar w:top="204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58448577"/>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645"/>
    <w:rsid w:val="000523D5"/>
    <w:rsid w:val="0007391A"/>
    <w:rsid w:val="00076983"/>
    <w:rsid w:val="00090285"/>
    <w:rsid w:val="00090854"/>
    <w:rsid w:val="000B0656"/>
    <w:rsid w:val="000F2123"/>
    <w:rsid w:val="0010294B"/>
    <w:rsid w:val="00126158"/>
    <w:rsid w:val="001467FC"/>
    <w:rsid w:val="0016648C"/>
    <w:rsid w:val="001C2CAD"/>
    <w:rsid w:val="001F3D2A"/>
    <w:rsid w:val="001F7CEE"/>
    <w:rsid w:val="00201794"/>
    <w:rsid w:val="00213358"/>
    <w:rsid w:val="00226992"/>
    <w:rsid w:val="00274657"/>
    <w:rsid w:val="002902E2"/>
    <w:rsid w:val="00294365"/>
    <w:rsid w:val="00296B14"/>
    <w:rsid w:val="00301973"/>
    <w:rsid w:val="0038686D"/>
    <w:rsid w:val="003B5E59"/>
    <w:rsid w:val="003C1DFB"/>
    <w:rsid w:val="004232CA"/>
    <w:rsid w:val="00424E54"/>
    <w:rsid w:val="004846F2"/>
    <w:rsid w:val="00493806"/>
    <w:rsid w:val="004C06A9"/>
    <w:rsid w:val="004D3724"/>
    <w:rsid w:val="004F0184"/>
    <w:rsid w:val="00572468"/>
    <w:rsid w:val="00572B61"/>
    <w:rsid w:val="005B1928"/>
    <w:rsid w:val="00631530"/>
    <w:rsid w:val="006545F4"/>
    <w:rsid w:val="00654DAA"/>
    <w:rsid w:val="006C7618"/>
    <w:rsid w:val="006D3097"/>
    <w:rsid w:val="006D67F2"/>
    <w:rsid w:val="007244C9"/>
    <w:rsid w:val="00762DA6"/>
    <w:rsid w:val="00764226"/>
    <w:rsid w:val="00814307"/>
    <w:rsid w:val="008149FE"/>
    <w:rsid w:val="00837CC1"/>
    <w:rsid w:val="008971BF"/>
    <w:rsid w:val="008E006F"/>
    <w:rsid w:val="00926632"/>
    <w:rsid w:val="0094205D"/>
    <w:rsid w:val="00952055"/>
    <w:rsid w:val="009639C4"/>
    <w:rsid w:val="009A7692"/>
    <w:rsid w:val="009F571B"/>
    <w:rsid w:val="00A17473"/>
    <w:rsid w:val="00A4530C"/>
    <w:rsid w:val="00AA272A"/>
    <w:rsid w:val="00AF3F29"/>
    <w:rsid w:val="00B062F0"/>
    <w:rsid w:val="00B12DEB"/>
    <w:rsid w:val="00B37F12"/>
    <w:rsid w:val="00B46CDD"/>
    <w:rsid w:val="00B51904"/>
    <w:rsid w:val="00B73BD9"/>
    <w:rsid w:val="00B77110"/>
    <w:rsid w:val="00BA2AE7"/>
    <w:rsid w:val="00BB205B"/>
    <w:rsid w:val="00BB5645"/>
    <w:rsid w:val="00BC6220"/>
    <w:rsid w:val="00BD5867"/>
    <w:rsid w:val="00C027A2"/>
    <w:rsid w:val="00C210DE"/>
    <w:rsid w:val="00C26B02"/>
    <w:rsid w:val="00C27A94"/>
    <w:rsid w:val="00C60104"/>
    <w:rsid w:val="00C7696F"/>
    <w:rsid w:val="00CB38FD"/>
    <w:rsid w:val="00D00DFB"/>
    <w:rsid w:val="00D2102A"/>
    <w:rsid w:val="00D2598C"/>
    <w:rsid w:val="00D43303"/>
    <w:rsid w:val="00D55778"/>
    <w:rsid w:val="00D57A4B"/>
    <w:rsid w:val="00D77109"/>
    <w:rsid w:val="00DA4944"/>
    <w:rsid w:val="00DB48FA"/>
    <w:rsid w:val="00E1041F"/>
    <w:rsid w:val="00E26A74"/>
    <w:rsid w:val="00E45751"/>
    <w:rsid w:val="00E917D3"/>
    <w:rsid w:val="00EC0106"/>
    <w:rsid w:val="00EE0A29"/>
    <w:rsid w:val="00EE72B1"/>
    <w:rsid w:val="00F234B7"/>
    <w:rsid w:val="00F30DE2"/>
    <w:rsid w:val="00F6099D"/>
    <w:rsid w:val="00FB7D83"/>
    <w:rsid w:val="04DF7660"/>
    <w:rsid w:val="0EE8656C"/>
    <w:rsid w:val="187E16D9"/>
    <w:rsid w:val="20471EE1"/>
    <w:rsid w:val="547A3011"/>
    <w:rsid w:val="708812B8"/>
    <w:rsid w:val="70D34301"/>
    <w:rsid w:val="7192343E"/>
    <w:rsid w:val="785C61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57" w:lineRule="atLeast"/>
      <w:jc w:val="both"/>
      <w:textAlignment w:val="baseline"/>
    </w:pPr>
    <w:rPr>
      <w:rFonts w:ascii="Times New Roman" w:hAnsi="Times New Roman" w:eastAsia="宋体" w:cs="Times New Roman"/>
      <w:color w:val="000000"/>
      <w:kern w:val="0"/>
      <w:sz w:val="21"/>
      <w:szCs w:val="22"/>
      <w:u w:color="00000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8"/>
    <w:semiHidden/>
    <w:unhideWhenUsed/>
    <w:qFormat/>
    <w:uiPriority w:val="99"/>
    <w:rPr>
      <w:rFonts w:ascii="宋体"/>
      <w:sz w:val="18"/>
      <w:szCs w:val="18"/>
    </w:rPr>
  </w:style>
  <w:style w:type="paragraph" w:styleId="3">
    <w:name w:val="footer"/>
    <w:basedOn w:val="1"/>
    <w:link w:val="11"/>
    <w:unhideWhenUsed/>
    <w:uiPriority w:val="99"/>
    <w:pPr>
      <w:tabs>
        <w:tab w:val="center" w:pos="4153"/>
        <w:tab w:val="right" w:pos="8306"/>
      </w:tabs>
      <w:snapToGrid w:val="0"/>
      <w:spacing w:line="240" w:lineRule="atLeast"/>
      <w:jc w:val="left"/>
    </w:pPr>
    <w:rPr>
      <w:sz w:val="18"/>
      <w:szCs w:val="18"/>
    </w:rPr>
  </w:style>
  <w:style w:type="paragraph" w:styleId="4">
    <w:name w:val="header"/>
    <w:basedOn w:val="1"/>
    <w:link w:val="10"/>
    <w:semiHidden/>
    <w:unhideWhenUsed/>
    <w:uiPriority w:val="99"/>
    <w:pPr>
      <w:pBdr>
        <w:bottom w:val="single" w:color="auto" w:sz="6" w:space="1"/>
      </w:pBdr>
      <w:tabs>
        <w:tab w:val="center" w:pos="4153"/>
        <w:tab w:val="right" w:pos="8306"/>
      </w:tabs>
      <w:snapToGrid w:val="0"/>
      <w:spacing w:line="240" w:lineRule="atLeast"/>
      <w:jc w:val="center"/>
    </w:pPr>
    <w:rPr>
      <w:sz w:val="18"/>
      <w:szCs w:val="18"/>
    </w:rPr>
  </w:style>
  <w:style w:type="paragraph" w:customStyle="1" w:styleId="7">
    <w:name w:val="默认段落字体 Para Char Char Char Char Char Char Char Char Char Char Char Char Char Char Char1 Char Char Char Char"/>
    <w:next w:val="3"/>
    <w:uiPriority w:val="0"/>
    <w:rPr>
      <w:rFonts w:asciiTheme="minorHAnsi" w:hAnsiTheme="minorHAnsi" w:eastAsiaTheme="minorEastAsia" w:cstheme="minorBidi"/>
      <w:kern w:val="2"/>
      <w:sz w:val="21"/>
      <w:szCs w:val="22"/>
      <w:lang w:val="en-US" w:eastAsia="zh-CN" w:bidi="ar-SA"/>
    </w:rPr>
  </w:style>
  <w:style w:type="character" w:customStyle="1" w:styleId="8">
    <w:name w:val="文档结构图 Char"/>
    <w:basedOn w:val="6"/>
    <w:link w:val="2"/>
    <w:semiHidden/>
    <w:uiPriority w:val="99"/>
    <w:rPr>
      <w:rFonts w:ascii="宋体" w:hAnsi="Times New Roman" w:eastAsia="宋体" w:cs="Times New Roman"/>
      <w:color w:val="000000"/>
      <w:kern w:val="0"/>
      <w:sz w:val="18"/>
      <w:szCs w:val="18"/>
      <w:u w:color="000000"/>
    </w:rPr>
  </w:style>
  <w:style w:type="paragraph" w:styleId="9">
    <w:name w:val="List Paragraph"/>
    <w:basedOn w:val="1"/>
    <w:qFormat/>
    <w:uiPriority w:val="34"/>
    <w:pPr>
      <w:ind w:firstLine="420" w:firstLineChars="200"/>
    </w:pPr>
  </w:style>
  <w:style w:type="character" w:customStyle="1" w:styleId="10">
    <w:name w:val="页眉 Char"/>
    <w:basedOn w:val="6"/>
    <w:link w:val="4"/>
    <w:semiHidden/>
    <w:qFormat/>
    <w:uiPriority w:val="99"/>
    <w:rPr>
      <w:rFonts w:ascii="Times New Roman" w:hAnsi="Times New Roman" w:eastAsia="宋体" w:cs="Times New Roman"/>
      <w:color w:val="000000"/>
      <w:kern w:val="0"/>
      <w:sz w:val="18"/>
      <w:szCs w:val="18"/>
      <w:u w:color="000000"/>
    </w:rPr>
  </w:style>
  <w:style w:type="character" w:customStyle="1" w:styleId="11">
    <w:name w:val="页脚 Char"/>
    <w:basedOn w:val="6"/>
    <w:link w:val="3"/>
    <w:qFormat/>
    <w:uiPriority w:val="99"/>
    <w:rPr>
      <w:rFonts w:ascii="Times New Roman" w:hAnsi="Times New Roman" w:eastAsia="宋体" w:cs="Times New Roman"/>
      <w:color w:val="000000"/>
      <w:kern w:val="0"/>
      <w:sz w:val="18"/>
      <w:szCs w:val="18"/>
      <w:u w:color="00000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235</Words>
  <Characters>1345</Characters>
  <Lines>11</Lines>
  <Paragraphs>3</Paragraphs>
  <TotalTime>16</TotalTime>
  <ScaleCrop>false</ScaleCrop>
  <LinksUpToDate>false</LinksUpToDate>
  <CharactersWithSpaces>1577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2019-07-10T08:17:00Z</dcterms:created>
  <dc:creator>dreamsummit</dc:creator>
  <cp:lastModifiedBy>Administrator</cp:lastModifiedBy>
  <cp:lastPrinted>2020-09-23T07:15:00Z</cp:lastPrinted>
  <dcterms:modified xsi:type="dcterms:W3CDTF">2020-09-24T03:01:38Z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