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p>
    <w:p>
      <w:pPr>
        <w:jc w:val="center"/>
        <w:rPr>
          <w:rFonts w:hint="default" w:ascii="Times New Roman" w:hAnsi="Times New Roman" w:eastAsia="黑体" w:cs="Times New Roman"/>
          <w:b/>
          <w:sz w:val="36"/>
          <w:szCs w:val="36"/>
        </w:rPr>
      </w:pPr>
      <w:r>
        <w:rPr>
          <w:rFonts w:hint="default" w:ascii="Times New Roman" w:hAnsi="Times New Roman" w:eastAsia="黑体" w:cs="Times New Roman"/>
          <w:b/>
          <w:sz w:val="36"/>
          <w:szCs w:val="36"/>
        </w:rPr>
        <w:t>政府信息公开工作年度报告</w:t>
      </w:r>
    </w:p>
    <w:p>
      <w:pPr>
        <w:jc w:val="center"/>
        <w:rPr>
          <w:rFonts w:hint="default" w:ascii="Times New Roman" w:hAnsi="Times New Roman" w:cs="Times New Roman"/>
          <w:b/>
          <w:sz w:val="36"/>
          <w:szCs w:val="36"/>
        </w:rPr>
      </w:pP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一、总体情况</w:t>
      </w:r>
    </w:p>
    <w:p>
      <w:pPr>
        <w:pStyle w:val="5"/>
        <w:widowControl/>
        <w:shd w:val="clear" w:color="auto" w:fill="FFFFFF"/>
        <w:spacing w:before="0" w:beforeAutospacing="0" w:after="0" w:afterAutospacing="0" w:line="480" w:lineRule="atLeast"/>
        <w:ind w:firstLine="640" w:firstLineChars="200"/>
        <w:rPr>
          <w:rFonts w:hint="default" w:ascii="Times New Roman" w:hAnsi="Times New Roman" w:eastAsia="仿宋_GB2312" w:cs="Times New Roman"/>
          <w:color w:val="3D3D3D"/>
          <w:sz w:val="32"/>
          <w:szCs w:val="32"/>
          <w:shd w:val="clear" w:color="auto" w:fill="FFFFFF"/>
        </w:rPr>
      </w:pPr>
      <w:r>
        <w:rPr>
          <w:rFonts w:hint="default" w:ascii="Times New Roman" w:hAnsi="Times New Roman" w:eastAsia="仿宋_GB2312" w:cs="Times New Roman"/>
          <w:color w:val="3D3D3D"/>
          <w:sz w:val="32"/>
          <w:szCs w:val="32"/>
          <w:shd w:val="clear" w:color="auto" w:fill="FFFFFF"/>
        </w:rPr>
        <w:t>推行政府信息公开，是深入推行政务公开，转变政府职能，认真贯彻落实区委“一个总体目标、实施三大战略、三个着力提升、十个率先突破”总体思路和工作布局，建设阳光政府、法制政府，保障公民知情权、监督权和参与权的重要举措，对贯彻落实十九大、二中、三中和四中全会精神、建设社会主义和谐社会具有重要意义。</w:t>
      </w:r>
    </w:p>
    <w:p>
      <w:pPr>
        <w:pStyle w:val="5"/>
        <w:widowControl/>
        <w:shd w:val="clear" w:color="auto" w:fill="FFFFFF"/>
        <w:spacing w:before="0" w:beforeAutospacing="0" w:after="0" w:afterAutospacing="0" w:line="480" w:lineRule="atLeast"/>
        <w:ind w:firstLine="640" w:firstLineChars="200"/>
        <w:rPr>
          <w:rFonts w:hint="default" w:ascii="Times New Roman" w:hAnsi="Times New Roman" w:eastAsia="仿宋_GB2312" w:cs="Times New Roman"/>
          <w:color w:val="3D3D3D"/>
          <w:sz w:val="32"/>
          <w:szCs w:val="32"/>
          <w:shd w:val="clear" w:color="auto" w:fill="FFFFFF"/>
        </w:rPr>
      </w:pPr>
      <w:r>
        <w:rPr>
          <w:rFonts w:hint="default" w:ascii="Times New Roman" w:hAnsi="Times New Roman" w:eastAsia="仿宋_GB2312" w:cs="Times New Roman"/>
          <w:color w:val="3D3D3D"/>
          <w:sz w:val="32"/>
          <w:szCs w:val="32"/>
          <w:shd w:val="clear" w:color="auto" w:fill="FFFFFF"/>
        </w:rPr>
        <w:t>2019年，区交通运输局认真贯彻落实《条例》及市区有关文件精神，夯实政府信息公开工作基础，拓展公开渠道，创新公开方式，加大工作力度，按照“以公开为原则，不公开为例外”的要求，将除涉及国家秘密、商业机密和个人隐私以外的，将与经济建设、社会管理和公共服务相关的政府信息，通过政府网站、政府信息查阅场所、信息告知栏等渠道和方式，主动向社会进行了公开。　</w:t>
      </w:r>
    </w:p>
    <w:p>
      <w:pPr>
        <w:pStyle w:val="5"/>
        <w:widowControl/>
        <w:shd w:val="clear" w:color="auto" w:fill="FFFFFF"/>
        <w:spacing w:before="0" w:beforeAutospacing="0" w:after="0" w:afterAutospacing="0" w:line="480" w:lineRule="atLeast"/>
        <w:ind w:firstLine="640" w:firstLineChars="200"/>
        <w:rPr>
          <w:rFonts w:hint="default" w:ascii="Times New Roman" w:hAnsi="Times New Roman" w:eastAsia="仿宋_GB2312" w:cs="Times New Roman"/>
          <w:color w:val="3D3D3D"/>
          <w:sz w:val="32"/>
          <w:szCs w:val="32"/>
        </w:rPr>
      </w:pPr>
      <w:r>
        <w:rPr>
          <w:rFonts w:hint="default" w:ascii="Times New Roman" w:hAnsi="Times New Roman" w:eastAsia="仿宋_GB2312" w:cs="Times New Roman"/>
          <w:color w:val="3D3D3D"/>
          <w:sz w:val="32"/>
          <w:szCs w:val="32"/>
          <w:shd w:val="clear" w:color="auto" w:fill="FFFFFF"/>
        </w:rPr>
        <w:t>2019年，我局主动公开政府信息</w:t>
      </w:r>
      <w:r>
        <w:rPr>
          <w:rFonts w:hint="default" w:ascii="Times New Roman" w:hAnsi="Times New Roman" w:eastAsia="仿宋_GB2312" w:cs="Times New Roman"/>
          <w:color w:val="3D3D3D"/>
          <w:sz w:val="32"/>
          <w:szCs w:val="32"/>
          <w:shd w:val="clear" w:color="auto" w:fill="FFFFFF"/>
          <w:lang w:val="en-US" w:eastAsia="zh-CN"/>
        </w:rPr>
        <w:t>69</w:t>
      </w:r>
      <w:r>
        <w:rPr>
          <w:rFonts w:hint="default" w:ascii="Times New Roman" w:hAnsi="Times New Roman" w:eastAsia="仿宋_GB2312" w:cs="Times New Roman"/>
          <w:color w:val="3D3D3D"/>
          <w:sz w:val="32"/>
          <w:szCs w:val="32"/>
          <w:shd w:val="clear" w:color="auto" w:fill="FFFFFF"/>
        </w:rPr>
        <w:t>条。我局主动公开的信息有交通信息、机构职能、政务公开、政策法规、便民服务、营商环境、财政信息等。2019年度，我局未收到公民及其他组织提出政府信息公开申请和未发生因政府信息公开引起的行政复议和行政诉讼案件。2019年度，无政府信息公开收费及减免情况。</w:t>
      </w: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二、主动公开政府信息情况</w:t>
      </w:r>
    </w:p>
    <w:p>
      <w:pPr>
        <w:rPr>
          <w:rFonts w:hint="default" w:ascii="Times New Roman" w:hAnsi="Times New Roman" w:cs="Times New Roman"/>
          <w:b/>
          <w:sz w:val="24"/>
          <w:szCs w:val="24"/>
        </w:rPr>
      </w:pPr>
    </w:p>
    <w:tbl>
      <w:tblPr>
        <w:tblStyle w:val="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本年新制作数量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本年新</w:t>
            </w:r>
          </w:p>
          <w:p>
            <w:pPr>
              <w:jc w:val="center"/>
              <w:rPr>
                <w:rFonts w:hint="default" w:ascii="Times New Roman" w:hAnsi="Times New Roman" w:cs="Times New Roman"/>
                <w:sz w:val="24"/>
                <w:szCs w:val="24"/>
              </w:rPr>
            </w:pPr>
            <w:r>
              <w:rPr>
                <w:rFonts w:hint="default" w:ascii="Times New Roman" w:hAnsi="Times New Roman" w:cs="Times New Roman"/>
                <w:sz w:val="24"/>
                <w:szCs w:val="24"/>
              </w:rPr>
              <w:t>公开数量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对外公开</w:t>
            </w:r>
          </w:p>
          <w:p>
            <w:pPr>
              <w:jc w:val="center"/>
              <w:rPr>
                <w:rFonts w:hint="default" w:ascii="Times New Roman" w:hAnsi="Times New Roman" w:cs="Times New Roman"/>
                <w:sz w:val="24"/>
                <w:szCs w:val="24"/>
              </w:rPr>
            </w:pPr>
            <w:r>
              <w:rPr>
                <w:rFonts w:hint="default" w:ascii="Times New Roman" w:hAnsi="Times New Roman" w:cs="Times New Roman"/>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规范性文件</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8</w:t>
            </w:r>
          </w:p>
        </w:tc>
        <w:tc>
          <w:tcPr>
            <w:tcW w:w="2222" w:type="dxa"/>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40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-29</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其他对外管理服务事项</w:t>
            </w:r>
          </w:p>
        </w:tc>
        <w:tc>
          <w:tcPr>
            <w:tcW w:w="1985" w:type="dxa"/>
            <w:vAlign w:val="center"/>
          </w:tcPr>
          <w:p>
            <w:pPr>
              <w:rPr>
                <w:rFonts w:hint="default" w:ascii="Times New Roman" w:hAnsi="Times New Roman" w:cs="Times New Roman"/>
                <w:sz w:val="24"/>
                <w:szCs w:val="24"/>
              </w:rPr>
            </w:pPr>
          </w:p>
        </w:tc>
        <w:tc>
          <w:tcPr>
            <w:tcW w:w="2030" w:type="dxa"/>
            <w:vAlign w:val="center"/>
          </w:tcPr>
          <w:p>
            <w:pPr>
              <w:rPr>
                <w:rFonts w:hint="default" w:ascii="Times New Roman" w:hAnsi="Times New Roman" w:cs="Times New Roman"/>
                <w:sz w:val="24"/>
                <w:szCs w:val="24"/>
              </w:rPr>
            </w:pPr>
          </w:p>
        </w:tc>
        <w:tc>
          <w:tcPr>
            <w:tcW w:w="2222" w:type="dxa"/>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c>
          <w:tcPr>
            <w:tcW w:w="2222"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294</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+24</w:t>
            </w:r>
          </w:p>
        </w:tc>
        <w:tc>
          <w:tcPr>
            <w:tcW w:w="2222"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030"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2222" w:type="dxa"/>
            <w:vAlign w:val="center"/>
          </w:tcPr>
          <w:p>
            <w:pP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上一年项目数量</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0</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采购项目数量</w:t>
            </w:r>
          </w:p>
        </w:tc>
        <w:tc>
          <w:tcPr>
            <w:tcW w:w="4252" w:type="dxa"/>
            <w:gridSpan w:val="2"/>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694"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政府集中采购</w:t>
            </w:r>
          </w:p>
        </w:tc>
        <w:tc>
          <w:tcPr>
            <w:tcW w:w="1985" w:type="dxa"/>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2（服务、工程）</w:t>
            </w:r>
          </w:p>
        </w:tc>
        <w:tc>
          <w:tcPr>
            <w:tcW w:w="4252" w:type="dxa"/>
            <w:gridSpan w:val="2"/>
            <w:vAlign w:val="center"/>
          </w:tcPr>
          <w:p>
            <w:pPr>
              <w:rPr>
                <w:rFonts w:hint="default" w:ascii="Times New Roman" w:hAnsi="Times New Roman" w:cs="Times New Roman"/>
                <w:sz w:val="24"/>
                <w:szCs w:val="24"/>
              </w:rPr>
            </w:pPr>
            <w:r>
              <w:rPr>
                <w:rFonts w:hint="default" w:ascii="Times New Roman" w:hAnsi="Times New Roman" w:cs="Times New Roman"/>
                <w:sz w:val="24"/>
                <w:szCs w:val="24"/>
              </w:rPr>
              <w:t>4071944.6元</w:t>
            </w:r>
          </w:p>
        </w:tc>
      </w:tr>
    </w:tbl>
    <w:p>
      <w:pPr>
        <w:rPr>
          <w:rFonts w:hint="default" w:ascii="Times New Roman" w:hAnsi="Times New Roman" w:eastAsia="黑体" w:cs="Times New Roman"/>
          <w:b w:val="0"/>
          <w:bCs/>
          <w:sz w:val="28"/>
          <w:szCs w:val="28"/>
          <w:lang w:val="en-US" w:eastAsia="zh-CN"/>
        </w:rPr>
      </w:pPr>
    </w:p>
    <w:p>
      <w:pPr>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 w:val="0"/>
          <w:bCs/>
          <w:sz w:val="28"/>
          <w:szCs w:val="28"/>
          <w:lang w:val="en-US" w:eastAsia="zh-CN"/>
        </w:rPr>
        <w:t>三、收到和处理政府信息公开申请情况</w:t>
      </w:r>
    </w:p>
    <w:tbl>
      <w:tblPr>
        <w:tblStyle w:val="7"/>
        <w:tblW w:w="9450"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296"/>
        <w:gridCol w:w="2389"/>
        <w:gridCol w:w="304"/>
        <w:gridCol w:w="263"/>
        <w:gridCol w:w="304"/>
        <w:gridCol w:w="405"/>
        <w:gridCol w:w="304"/>
        <w:gridCol w:w="404"/>
        <w:gridCol w:w="304"/>
        <w:gridCol w:w="405"/>
        <w:gridCol w:w="304"/>
        <w:gridCol w:w="405"/>
        <w:gridCol w:w="304"/>
        <w:gridCol w:w="405"/>
        <w:gridCol w:w="304"/>
        <w:gridCol w:w="546"/>
        <w:gridCol w:w="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489" w:type="dxa"/>
            <w:gridSpan w:val="4"/>
            <w:vMerge w:val="restart"/>
            <w:vAlign w:val="center"/>
          </w:tcPr>
          <w:p>
            <w:pP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961" w:type="dxa"/>
            <w:gridSpan w:val="14"/>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4489" w:type="dxa"/>
            <w:gridSpan w:val="4"/>
            <w:vMerge w:val="continue"/>
          </w:tcPr>
          <w:p>
            <w:pPr>
              <w:rPr>
                <w:rFonts w:hint="default" w:ascii="Times New Roman" w:hAnsi="Times New Roman" w:cs="Times New Roman"/>
              </w:rPr>
            </w:pPr>
          </w:p>
        </w:tc>
        <w:tc>
          <w:tcPr>
            <w:tcW w:w="567" w:type="dxa"/>
            <w:gridSpan w:val="2"/>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544"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850" w:type="dxa"/>
            <w:gridSpan w:val="2"/>
            <w:vMerge w:val="restart"/>
            <w:vAlign w:val="center"/>
          </w:tcPr>
          <w:p>
            <w:pP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4489" w:type="dxa"/>
            <w:gridSpan w:val="4"/>
            <w:vMerge w:val="continue"/>
          </w:tcPr>
          <w:p>
            <w:pPr>
              <w:rPr>
                <w:rFonts w:hint="default" w:ascii="Times New Roman" w:hAnsi="Times New Roman" w:cs="Times New Roman"/>
              </w:rPr>
            </w:pPr>
          </w:p>
        </w:tc>
        <w:tc>
          <w:tcPr>
            <w:tcW w:w="567" w:type="dxa"/>
            <w:gridSpan w:val="2"/>
            <w:vMerge w:val="continue"/>
          </w:tcPr>
          <w:p>
            <w:pPr>
              <w:rPr>
                <w:rFonts w:hint="default" w:ascii="Times New Roman" w:hAnsi="Times New Roman" w:cs="Times New Roman"/>
                <w:sz w:val="18"/>
                <w:szCs w:val="18"/>
              </w:rPr>
            </w:pP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商业企业</w:t>
            </w:r>
          </w:p>
        </w:tc>
        <w:tc>
          <w:tcPr>
            <w:tcW w:w="708"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科研机构</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社会公益组织</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法律服务机构</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其他</w:t>
            </w:r>
          </w:p>
        </w:tc>
        <w:tc>
          <w:tcPr>
            <w:tcW w:w="850" w:type="dxa"/>
            <w:gridSpan w:val="2"/>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489" w:type="dxa"/>
            <w:gridSpan w:val="4"/>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67" w:type="dxa"/>
            <w:gridSpan w:val="2"/>
          </w:tcPr>
          <w:p>
            <w:pPr>
              <w:rPr>
                <w:rFonts w:hint="default" w:ascii="Times New Roman" w:hAnsi="Times New Roman" w:cs="Times New Roman"/>
              </w:rPr>
            </w:pPr>
            <w:r>
              <w:rPr>
                <w:rFonts w:hint="default" w:ascii="Times New Roman" w:hAnsi="Times New Roman" w:cs="Times New Roman"/>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8"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850"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489" w:type="dxa"/>
            <w:gridSpan w:val="4"/>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67" w:type="dxa"/>
            <w:gridSpan w:val="2"/>
          </w:tcPr>
          <w:p>
            <w:pPr>
              <w:rPr>
                <w:rFonts w:hint="default" w:ascii="Times New Roman" w:hAnsi="Times New Roman" w:cs="Times New Roman"/>
              </w:rPr>
            </w:pPr>
            <w:r>
              <w:rPr>
                <w:rFonts w:hint="default" w:ascii="Times New Roman" w:hAnsi="Times New Roman" w:cs="Times New Roman"/>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8"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709" w:type="dxa"/>
            <w:gridSpan w:val="2"/>
            <w:vAlign w:val="center"/>
          </w:tcPr>
          <w:p>
            <w:pPr>
              <w:rPr>
                <w:rFonts w:hint="default" w:ascii="Times New Roman" w:hAnsi="Times New Roman" w:cs="Times New Roman"/>
                <w:szCs w:val="21"/>
              </w:rPr>
            </w:pPr>
            <w:r>
              <w:rPr>
                <w:rFonts w:hint="default" w:ascii="Times New Roman" w:hAnsi="Times New Roman" w:cs="Times New Roman"/>
                <w:szCs w:val="21"/>
              </w:rPr>
              <w:t>无</w:t>
            </w:r>
          </w:p>
        </w:tc>
        <w:tc>
          <w:tcPr>
            <w:tcW w:w="850" w:type="dxa"/>
            <w:gridSpan w:val="2"/>
          </w:tcPr>
          <w:p>
            <w:pPr>
              <w:rPr>
                <w:rFonts w:hint="default" w:ascii="Times New Roman" w:hAnsi="Times New Roman" w:cs="Times New Roman"/>
              </w:rPr>
            </w:pPr>
            <w:r>
              <w:rPr>
                <w:rFonts w:hint="default" w:ascii="Times New Roman" w:hAnsi="Times New Roman" w:cs="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0"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3989" w:type="dxa"/>
            <w:gridSpan w:val="3"/>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tcPr>
          <w:p>
            <w:pPr>
              <w:rPr>
                <w:rFonts w:hint="default" w:ascii="Times New Roman" w:hAnsi="Times New Roman" w:cs="Times New Roman"/>
              </w:rPr>
            </w:pPr>
          </w:p>
        </w:tc>
        <w:tc>
          <w:tcPr>
            <w:tcW w:w="3989" w:type="dxa"/>
            <w:gridSpan w:val="3"/>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00" w:type="dxa"/>
            <w:vMerge w:val="continue"/>
          </w:tcPr>
          <w:p>
            <w:pPr>
              <w:rPr>
                <w:rFonts w:hint="default" w:ascii="Times New Roman" w:hAnsi="Times New Roman" w:cs="Times New Roman"/>
              </w:rPr>
            </w:pPr>
          </w:p>
        </w:tc>
        <w:tc>
          <w:tcPr>
            <w:tcW w:w="1296"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500" w:type="dxa"/>
            <w:vMerge w:val="continue"/>
          </w:tcPr>
          <w:p>
            <w:pPr>
              <w:rPr>
                <w:rFonts w:hint="default" w:ascii="Times New Roman" w:hAnsi="Times New Roman" w:cs="Times New Roman"/>
              </w:rPr>
            </w:pPr>
          </w:p>
        </w:tc>
        <w:tc>
          <w:tcPr>
            <w:tcW w:w="1296"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tcPr>
          <w:p>
            <w:pPr>
              <w:rPr>
                <w:rFonts w:hint="default" w:ascii="Times New Roman" w:hAnsi="Times New Roman" w:cs="Times New Roman"/>
              </w:rPr>
            </w:pPr>
          </w:p>
        </w:tc>
        <w:tc>
          <w:tcPr>
            <w:tcW w:w="1296" w:type="dxa"/>
            <w:vMerge w:val="continue"/>
            <w:vAlign w:val="center"/>
          </w:tcPr>
          <w:p>
            <w:pPr>
              <w:rPr>
                <w:rFonts w:hint="default" w:ascii="Times New Roman" w:hAnsi="Times New Roman" w:cs="Times New Roman"/>
                <w:sz w:val="18"/>
                <w:szCs w:val="18"/>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500" w:type="dxa"/>
            <w:vMerge w:val="continue"/>
          </w:tcPr>
          <w:p>
            <w:pPr>
              <w:rPr>
                <w:rFonts w:hint="default" w:ascii="Times New Roman" w:hAnsi="Times New Roman" w:cs="Times New Roman"/>
              </w:rPr>
            </w:pPr>
          </w:p>
        </w:tc>
        <w:tc>
          <w:tcPr>
            <w:tcW w:w="1296"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tcPr>
          <w:p>
            <w:pPr>
              <w:rPr>
                <w:rFonts w:hint="default" w:ascii="Times New Roman" w:hAnsi="Times New Roman" w:cs="Times New Roman"/>
              </w:rPr>
            </w:pPr>
          </w:p>
        </w:tc>
        <w:tc>
          <w:tcPr>
            <w:tcW w:w="1296" w:type="dxa"/>
            <w:vMerge w:val="continue"/>
          </w:tcPr>
          <w:p>
            <w:pPr>
              <w:rPr>
                <w:rFonts w:hint="default" w:ascii="Times New Roman" w:hAnsi="Times New Roman" w:cs="Times New Roman"/>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500" w:type="dxa"/>
            <w:vMerge w:val="continue"/>
          </w:tcPr>
          <w:p>
            <w:pPr>
              <w:rPr>
                <w:rFonts w:hint="default" w:ascii="Times New Roman" w:hAnsi="Times New Roman" w:cs="Times New Roman"/>
              </w:rPr>
            </w:pPr>
          </w:p>
        </w:tc>
        <w:tc>
          <w:tcPr>
            <w:tcW w:w="1296" w:type="dxa"/>
            <w:vMerge w:val="continue"/>
          </w:tcPr>
          <w:p>
            <w:pPr>
              <w:rPr>
                <w:rFonts w:hint="default" w:ascii="Times New Roman" w:hAnsi="Times New Roman" w:cs="Times New Roman"/>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0" w:type="dxa"/>
            <w:vMerge w:val="continue"/>
          </w:tcPr>
          <w:p>
            <w:pPr>
              <w:rPr>
                <w:rFonts w:hint="default" w:ascii="Times New Roman" w:hAnsi="Times New Roman" w:cs="Times New Roman"/>
              </w:rPr>
            </w:pPr>
          </w:p>
        </w:tc>
        <w:tc>
          <w:tcPr>
            <w:tcW w:w="1296" w:type="dxa"/>
            <w:vMerge w:val="continue"/>
          </w:tcPr>
          <w:p>
            <w:pPr>
              <w:rPr>
                <w:rFonts w:hint="default" w:ascii="Times New Roman" w:hAnsi="Times New Roman" w:cs="Times New Roman"/>
              </w:rPr>
            </w:pPr>
          </w:p>
        </w:tc>
        <w:tc>
          <w:tcPr>
            <w:tcW w:w="2693" w:type="dxa"/>
            <w:gridSpan w:val="2"/>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 w:type="dxa"/>
            <w:vMerge w:val="continue"/>
          </w:tcPr>
          <w:p>
            <w:pPr>
              <w:rPr>
                <w:rFonts w:hint="default" w:ascii="Times New Roman" w:hAnsi="Times New Roman" w:cs="Times New Roman"/>
              </w:rPr>
            </w:pPr>
          </w:p>
        </w:tc>
        <w:tc>
          <w:tcPr>
            <w:tcW w:w="1296" w:type="dxa"/>
            <w:vMerge w:val="continue"/>
          </w:tcPr>
          <w:p>
            <w:pPr>
              <w:rPr>
                <w:rFonts w:hint="default" w:ascii="Times New Roman" w:hAnsi="Times New Roman" w:cs="Times New Roman"/>
              </w:rPr>
            </w:pPr>
          </w:p>
        </w:tc>
        <w:tc>
          <w:tcPr>
            <w:tcW w:w="2693" w:type="dxa"/>
            <w:gridSpan w:val="2"/>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500" w:type="dxa"/>
          </w:tcPr>
          <w:p>
            <w:pPr>
              <w:rPr>
                <w:rFonts w:hint="default" w:ascii="Times New Roman" w:hAnsi="Times New Roman" w:cs="Times New Roman"/>
              </w:rPr>
            </w:pPr>
          </w:p>
        </w:tc>
        <w:tc>
          <w:tcPr>
            <w:tcW w:w="3989" w:type="dxa"/>
            <w:gridSpan w:val="3"/>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 w:type="dxa"/>
          </w:tcPr>
          <w:p>
            <w:pPr>
              <w:rPr>
                <w:rFonts w:hint="default" w:ascii="Times New Roman" w:hAnsi="Times New Roman" w:cs="Times New Roman"/>
              </w:rPr>
            </w:pPr>
          </w:p>
        </w:tc>
        <w:tc>
          <w:tcPr>
            <w:tcW w:w="3989" w:type="dxa"/>
            <w:gridSpan w:val="3"/>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67"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04" w:type="dxa"/>
        </w:trPr>
        <w:tc>
          <w:tcPr>
            <w:tcW w:w="4185" w:type="dxa"/>
            <w:gridSpan w:val="3"/>
            <w:vAlign w:val="center"/>
          </w:tcPr>
          <w:p>
            <w:pPr>
              <w:rPr>
                <w:rFonts w:hint="default" w:ascii="Times New Roman" w:hAnsi="Times New Roman" w:cs="Times New Roman"/>
              </w:rPr>
            </w:pPr>
            <w:r>
              <w:rPr>
                <w:rFonts w:hint="default" w:ascii="Times New Roman" w:hAnsi="Times New Roman" w:cs="Times New Roman"/>
              </w:rPr>
              <w:t>四、结转下年度继续办理</w:t>
            </w:r>
          </w:p>
        </w:tc>
        <w:tc>
          <w:tcPr>
            <w:tcW w:w="567" w:type="dxa"/>
            <w:gridSpan w:val="2"/>
          </w:tcPr>
          <w:p>
            <w:pPr>
              <w:rPr>
                <w:rFonts w:hint="default" w:ascii="Times New Roman" w:hAnsi="Times New Roman" w:cs="Times New Roman"/>
              </w:rPr>
            </w:pPr>
            <w:r>
              <w:rPr>
                <w:rFonts w:hint="default" w:ascii="Times New Roman" w:hAnsi="Times New Roman" w:cs="Times New Roman"/>
              </w:rPr>
              <w:t>0</w:t>
            </w:r>
          </w:p>
        </w:tc>
        <w:tc>
          <w:tcPr>
            <w:tcW w:w="709" w:type="dxa"/>
            <w:gridSpan w:val="2"/>
          </w:tcPr>
          <w:p>
            <w:pPr>
              <w:rPr>
                <w:rFonts w:hint="default" w:ascii="Times New Roman" w:hAnsi="Times New Roman" w:cs="Times New Roman"/>
              </w:rPr>
            </w:pPr>
          </w:p>
        </w:tc>
        <w:tc>
          <w:tcPr>
            <w:tcW w:w="708"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709" w:type="dxa"/>
            <w:gridSpan w:val="2"/>
          </w:tcPr>
          <w:p>
            <w:pPr>
              <w:rPr>
                <w:rFonts w:hint="default" w:ascii="Times New Roman" w:hAnsi="Times New Roman" w:cs="Times New Roman"/>
              </w:rPr>
            </w:pPr>
          </w:p>
        </w:tc>
        <w:tc>
          <w:tcPr>
            <w:tcW w:w="850" w:type="dxa"/>
            <w:gridSpan w:val="2"/>
          </w:tcPr>
          <w:p>
            <w:pPr>
              <w:rPr>
                <w:rFonts w:hint="default" w:ascii="Times New Roman" w:hAnsi="Times New Roman" w:cs="Times New Roman"/>
              </w:rPr>
            </w:pPr>
          </w:p>
        </w:tc>
      </w:tr>
    </w:tbl>
    <w:p>
      <w:pPr>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四．政府信息公开行政复议、行政诉讼情况</w:t>
      </w:r>
    </w:p>
    <w:tbl>
      <w:tblPr>
        <w:tblStyle w:val="7"/>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3402"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行政复议</w:t>
            </w:r>
          </w:p>
        </w:tc>
        <w:tc>
          <w:tcPr>
            <w:tcW w:w="6804" w:type="dxa"/>
            <w:gridSpan w:val="10"/>
            <w:vAlign w:val="center"/>
          </w:tcPr>
          <w:p>
            <w:pPr>
              <w:jc w:val="center"/>
              <w:rPr>
                <w:rFonts w:hint="default" w:ascii="Times New Roman" w:hAnsi="Times New Roman" w:cs="Times New Roman"/>
                <w:szCs w:val="21"/>
              </w:rPr>
            </w:pPr>
            <w:r>
              <w:rPr>
                <w:rFonts w:hint="default" w:ascii="Times New Roman" w:hAnsi="Times New Roman" w:cs="Times New Roman"/>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682"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594"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3402"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未经复议直接起诉</w:t>
            </w:r>
          </w:p>
        </w:tc>
        <w:tc>
          <w:tcPr>
            <w:tcW w:w="3402"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Merge w:val="continue"/>
            <w:vAlign w:val="center"/>
          </w:tcPr>
          <w:p>
            <w:pPr>
              <w:jc w:val="center"/>
              <w:rPr>
                <w:rFonts w:hint="default" w:ascii="Times New Roman" w:hAnsi="Times New Roman" w:cs="Times New Roman"/>
                <w:sz w:val="18"/>
                <w:szCs w:val="18"/>
              </w:rPr>
            </w:pPr>
          </w:p>
        </w:tc>
        <w:tc>
          <w:tcPr>
            <w:tcW w:w="708" w:type="dxa"/>
            <w:vMerge w:val="continue"/>
            <w:vAlign w:val="center"/>
          </w:tcPr>
          <w:p>
            <w:pPr>
              <w:jc w:val="center"/>
              <w:rPr>
                <w:rFonts w:hint="default" w:ascii="Times New Roman" w:hAnsi="Times New Roman" w:cs="Times New Roman"/>
                <w:sz w:val="18"/>
                <w:szCs w:val="18"/>
              </w:rPr>
            </w:pPr>
          </w:p>
        </w:tc>
        <w:tc>
          <w:tcPr>
            <w:tcW w:w="709" w:type="dxa"/>
            <w:vMerge w:val="continue"/>
            <w:vAlign w:val="center"/>
          </w:tcPr>
          <w:p>
            <w:pPr>
              <w:jc w:val="center"/>
              <w:rPr>
                <w:rFonts w:hint="default" w:ascii="Times New Roman" w:hAnsi="Times New Roman" w:cs="Times New Roman"/>
                <w:sz w:val="18"/>
                <w:szCs w:val="18"/>
              </w:rPr>
            </w:pPr>
          </w:p>
        </w:tc>
        <w:tc>
          <w:tcPr>
            <w:tcW w:w="682" w:type="dxa"/>
            <w:vMerge w:val="continue"/>
            <w:vAlign w:val="center"/>
          </w:tcPr>
          <w:p>
            <w:pPr>
              <w:jc w:val="center"/>
              <w:rPr>
                <w:rFonts w:hint="default" w:ascii="Times New Roman" w:hAnsi="Times New Roman" w:cs="Times New Roman"/>
                <w:szCs w:val="21"/>
              </w:rPr>
            </w:pPr>
          </w:p>
        </w:tc>
        <w:tc>
          <w:tcPr>
            <w:tcW w:w="594" w:type="dxa"/>
            <w:vMerge w:val="continue"/>
            <w:vAlign w:val="center"/>
          </w:tcPr>
          <w:p>
            <w:pPr>
              <w:jc w:val="center"/>
              <w:rPr>
                <w:rFonts w:hint="default" w:ascii="Times New Roman" w:hAnsi="Times New Roman" w:cs="Times New Roman"/>
                <w:szCs w:val="21"/>
              </w:rPr>
            </w:pP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c>
          <w:tcPr>
            <w:tcW w:w="85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结果维持</w:t>
            </w:r>
          </w:p>
        </w:tc>
        <w:tc>
          <w:tcPr>
            <w:tcW w:w="650"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结果纠正</w:t>
            </w:r>
          </w:p>
        </w:tc>
        <w:tc>
          <w:tcPr>
            <w:tcW w:w="7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其他结果</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尚未审结</w:t>
            </w: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09" w:type="dxa"/>
            <w:vAlign w:val="center"/>
          </w:tcPr>
          <w:p>
            <w:pPr>
              <w:jc w:val="center"/>
              <w:rPr>
                <w:rFonts w:hint="default" w:ascii="Times New Roman" w:hAnsi="Times New Roman" w:cs="Times New Roman"/>
                <w:sz w:val="18"/>
                <w:szCs w:val="18"/>
              </w:rPr>
            </w:pPr>
            <w:r>
              <w:rPr>
                <w:rFonts w:hint="default" w:ascii="Times New Roman" w:hAnsi="Times New Roman" w:cs="Times New Roman"/>
                <w:sz w:val="18"/>
                <w:szCs w:val="18"/>
              </w:rPr>
              <w:t>无</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682"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59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09"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08" w:type="dxa"/>
            <w:vAlign w:val="center"/>
          </w:tcPr>
          <w:p>
            <w:pPr>
              <w:jc w:val="center"/>
              <w:rPr>
                <w:rFonts w:hint="default" w:ascii="Times New Roman" w:hAnsi="Times New Roman" w:cs="Times New Roman"/>
                <w:szCs w:val="21"/>
              </w:rPr>
            </w:pP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c>
          <w:tcPr>
            <w:tcW w:w="851"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650"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67" w:type="dxa"/>
            <w:vAlign w:val="center"/>
          </w:tcPr>
          <w:p>
            <w:pPr>
              <w:jc w:val="center"/>
              <w:rPr>
                <w:rFonts w:hint="default" w:ascii="Times New Roman" w:hAnsi="Times New Roman" w:cs="Times New Roman"/>
              </w:rPr>
            </w:pPr>
            <w:r>
              <w:rPr>
                <w:rFonts w:hint="default" w:ascii="Times New Roman" w:hAnsi="Times New Roman" w:cs="Times New Roman"/>
                <w:sz w:val="18"/>
                <w:szCs w:val="18"/>
              </w:rPr>
              <w:t>无</w:t>
            </w:r>
          </w:p>
        </w:tc>
        <w:tc>
          <w:tcPr>
            <w:tcW w:w="709" w:type="dxa"/>
            <w:vAlign w:val="center"/>
          </w:tcPr>
          <w:p>
            <w:pPr>
              <w:jc w:val="center"/>
              <w:rPr>
                <w:rFonts w:hint="default" w:ascii="Times New Roman" w:hAnsi="Times New Roman" w:cs="Times New Roman"/>
                <w:szCs w:val="21"/>
              </w:rPr>
            </w:pPr>
          </w:p>
        </w:tc>
        <w:tc>
          <w:tcPr>
            <w:tcW w:w="4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0</w:t>
            </w:r>
          </w:p>
        </w:tc>
      </w:tr>
    </w:tbl>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五、工作考核情况</w:t>
      </w:r>
    </w:p>
    <w:p>
      <w:pPr>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eastAsia="zh-CN"/>
        </w:rPr>
        <w:t>在</w:t>
      </w:r>
      <w:r>
        <w:rPr>
          <w:rFonts w:hint="default" w:ascii="Times New Roman" w:hAnsi="Times New Roman" w:eastAsia="仿宋_GB2312" w:cs="Times New Roman"/>
          <w:b w:val="0"/>
          <w:bCs/>
          <w:sz w:val="32"/>
          <w:szCs w:val="32"/>
          <w:lang w:val="en-US" w:eastAsia="zh-CN"/>
        </w:rPr>
        <w:t>2019年全区经济社会发展考核中，我局被评为优秀。</w:t>
      </w: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六、社会评议</w:t>
      </w:r>
    </w:p>
    <w:p>
      <w:pPr>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在2019年社会评议中，我局列行政执法类第14位。</w:t>
      </w: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七、责任追究结果情况</w:t>
      </w:r>
    </w:p>
    <w:p>
      <w:pPr>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在2019年，我局未受到上级责任追究。</w:t>
      </w: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八、人大建议和政协提案办理情况</w:t>
      </w:r>
    </w:p>
    <w:p>
      <w:pPr>
        <w:ind w:firstLine="640" w:firstLineChars="200"/>
        <w:rPr>
          <w:rFonts w:hint="default" w:ascii="Times New Roman" w:hAnsi="Times New Roman" w:eastAsia="仿宋_GB2312"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在2019年，我局共办理人大代表建议8件，政协提案10件，全部按时办理完毕。</w:t>
      </w:r>
    </w:p>
    <w:p>
      <w:pPr>
        <w:ind w:firstLine="640" w:firstLineChars="200"/>
        <w:rPr>
          <w:rFonts w:hint="default" w:ascii="Times New Roman" w:hAnsi="Times New Roman" w:eastAsia="黑体" w:cs="Times New Roman"/>
          <w:b w:val="0"/>
          <w:bCs/>
          <w:sz w:val="32"/>
          <w:szCs w:val="32"/>
          <w:lang w:val="en-US" w:eastAsia="zh-CN"/>
        </w:rPr>
      </w:pPr>
      <w:r>
        <w:rPr>
          <w:rFonts w:hint="default" w:ascii="Times New Roman" w:hAnsi="Times New Roman" w:eastAsia="黑体" w:cs="Times New Roman"/>
          <w:b w:val="0"/>
          <w:bCs/>
          <w:sz w:val="32"/>
          <w:szCs w:val="32"/>
          <w:lang w:val="en-US" w:eastAsia="zh-CN"/>
        </w:rPr>
        <w:t>九、存在的主要问题及改进情况</w:t>
      </w:r>
    </w:p>
    <w:p>
      <w:pPr>
        <w:pStyle w:val="5"/>
        <w:widowControl/>
        <w:shd w:val="clear" w:color="auto" w:fill="FFFFFF"/>
        <w:spacing w:before="0" w:beforeAutospacing="0" w:after="0" w:afterAutospacing="0" w:line="480" w:lineRule="atLeast"/>
        <w:ind w:firstLine="640" w:firstLineChars="200"/>
        <w:rPr>
          <w:rFonts w:hint="default" w:ascii="Times New Roman" w:hAnsi="Times New Roman" w:eastAsia="仿宋_GB2312" w:cs="Times New Roman"/>
          <w:b w:val="0"/>
          <w:bCs/>
          <w:color w:val="3D3D3D"/>
          <w:sz w:val="32"/>
          <w:szCs w:val="32"/>
        </w:rPr>
      </w:pPr>
      <w:r>
        <w:rPr>
          <w:rFonts w:hint="default" w:ascii="Times New Roman" w:hAnsi="Times New Roman" w:eastAsia="仿宋_GB2312" w:cs="Times New Roman"/>
          <w:b w:val="0"/>
          <w:bCs/>
          <w:color w:val="3D3D3D"/>
          <w:sz w:val="32"/>
          <w:szCs w:val="32"/>
          <w:shd w:val="clear" w:color="auto" w:fill="FFFFFF"/>
        </w:rPr>
        <w:t>我局的信息公开工作与该项工作的高标准、严要求相比，还存在一定差距，主要是政府信息公开内容在广度和深度有待进一步加强和健全，涉及交通运输政策解读发布不够全面。在今后工作中，一是进一步加强组织领导，把信息公开工作列入交通运输工作重要议事日程，要求各科室、单位负责人提高</w:t>
      </w:r>
      <w:r>
        <w:rPr>
          <w:rFonts w:hint="default" w:ascii="Times New Roman" w:hAnsi="Times New Roman" w:cs="Times New Roman" w:eastAsiaTheme="minorEastAsia"/>
          <w:b w:val="0"/>
          <w:bCs/>
          <w:color w:val="3D3D3D"/>
          <w:sz w:val="32"/>
          <w:szCs w:val="32"/>
          <w:shd w:val="clear" w:color="auto" w:fill="FFFFFF"/>
        </w:rPr>
        <w:t>认识</w:t>
      </w:r>
      <w:r>
        <w:rPr>
          <w:rFonts w:hint="default" w:ascii="Times New Roman" w:hAnsi="Times New Roman" w:eastAsia="仿宋_GB2312" w:cs="Times New Roman"/>
          <w:b w:val="0"/>
          <w:bCs/>
          <w:color w:val="3D3D3D"/>
          <w:sz w:val="32"/>
          <w:szCs w:val="32"/>
          <w:shd w:val="clear" w:color="auto" w:fill="FFFFFF"/>
        </w:rPr>
        <w:t>，切实做好信息公开工作。二是进一步健全政府信息公开管理制度，确定我局具体工作工作人员和各科室、单位信息员，及时做好信息归总和发布。三是贯彻</w:t>
      </w:r>
      <w:r>
        <w:rPr>
          <w:rFonts w:hint="default" w:ascii="Times New Roman" w:hAnsi="Times New Roman" w:cs="Times New Roman" w:eastAsiaTheme="minorEastAsia"/>
          <w:b w:val="0"/>
          <w:bCs/>
          <w:color w:val="3D3D3D"/>
          <w:sz w:val="32"/>
          <w:szCs w:val="32"/>
          <w:shd w:val="clear" w:color="auto" w:fill="FFFFFF"/>
        </w:rPr>
        <w:t>落实</w:t>
      </w:r>
      <w:r>
        <w:rPr>
          <w:rFonts w:hint="default" w:ascii="Times New Roman" w:hAnsi="Times New Roman" w:eastAsia="仿宋_GB2312" w:cs="Times New Roman"/>
          <w:b w:val="0"/>
          <w:bCs/>
          <w:color w:val="3D3D3D"/>
          <w:sz w:val="32"/>
          <w:szCs w:val="32"/>
          <w:shd w:val="clear" w:color="auto" w:fill="FFFFFF"/>
        </w:rPr>
        <w:t>《中华人民共和国政府信息公开条例》和《山东省政府信息公开办法》</w:t>
      </w:r>
      <w:r>
        <w:rPr>
          <w:rFonts w:hint="default" w:ascii="Times New Roman" w:hAnsi="Times New Roman" w:cs="Times New Roman" w:eastAsiaTheme="minorEastAsia"/>
          <w:b w:val="0"/>
          <w:bCs/>
          <w:color w:val="3D3D3D"/>
          <w:sz w:val="32"/>
          <w:szCs w:val="32"/>
          <w:shd w:val="clear" w:color="auto" w:fill="FFFFFF"/>
        </w:rPr>
        <w:t>有待进一步提高</w:t>
      </w:r>
      <w:r>
        <w:rPr>
          <w:rFonts w:hint="default" w:ascii="Times New Roman" w:hAnsi="Times New Roman" w:eastAsia="仿宋_GB2312" w:cs="Times New Roman"/>
          <w:b w:val="0"/>
          <w:bCs/>
          <w:color w:val="3D3D3D"/>
          <w:sz w:val="32"/>
          <w:szCs w:val="32"/>
          <w:shd w:val="clear" w:color="auto" w:fill="FFFFFF"/>
        </w:rPr>
        <w:t>，进一步加强和完善政府信息公开工作。四是继续完善和充实政府信息公开内容，做到及时增删，确保信息公开内容的合法、全面、及时。</w:t>
      </w:r>
    </w:p>
    <w:p>
      <w:pPr>
        <w:ind w:firstLine="640" w:firstLineChars="200"/>
        <w:rPr>
          <w:rFonts w:hint="default" w:ascii="Times New Roman" w:hAnsi="Times New Roman" w:eastAsia="黑体" w:cs="Times New Roman"/>
          <w:b w:val="0"/>
          <w:bCs/>
          <w:sz w:val="32"/>
          <w:szCs w:val="32"/>
        </w:rPr>
      </w:pPr>
      <w:r>
        <w:rPr>
          <w:rFonts w:hint="eastAsia" w:ascii="Times New Roman" w:hAnsi="Times New Roman" w:eastAsia="黑体" w:cs="Times New Roman"/>
          <w:b w:val="0"/>
          <w:bCs/>
          <w:sz w:val="32"/>
          <w:szCs w:val="32"/>
          <w:lang w:eastAsia="zh-CN"/>
        </w:rPr>
        <w:t>十</w:t>
      </w:r>
      <w:bookmarkStart w:id="0" w:name="_GoBack"/>
      <w:bookmarkEnd w:id="0"/>
      <w:r>
        <w:rPr>
          <w:rFonts w:hint="default" w:ascii="Times New Roman" w:hAnsi="Times New Roman" w:eastAsia="黑体" w:cs="Times New Roman"/>
          <w:b w:val="0"/>
          <w:bCs/>
          <w:sz w:val="32"/>
          <w:szCs w:val="32"/>
        </w:rPr>
        <w:t>、其他需要报告的事项</w:t>
      </w:r>
    </w:p>
    <w:p>
      <w:pPr>
        <w:ind w:firstLine="640" w:firstLineChars="200"/>
        <w:rPr>
          <w:rFonts w:hint="default" w:ascii="Times New Roman" w:hAnsi="Times New Roman" w:cs="Times New Roman"/>
          <w:b w:val="0"/>
          <w:bCs/>
          <w:sz w:val="32"/>
          <w:szCs w:val="32"/>
        </w:rPr>
      </w:pPr>
      <w:r>
        <w:rPr>
          <w:rFonts w:hint="default" w:ascii="Times New Roman" w:hAnsi="Times New Roman" w:eastAsia="仿宋_GB2312" w:cs="Times New Roman"/>
          <w:b w:val="0"/>
          <w:bCs/>
          <w:color w:val="3D3D3D"/>
          <w:sz w:val="32"/>
          <w:szCs w:val="32"/>
          <w:shd w:val="clear" w:color="auto" w:fill="FFFFFF"/>
        </w:rPr>
        <w:t>对于政府信息公开工作，我局没有需要说明的事项。</w:t>
      </w:r>
    </w:p>
    <w:sectPr>
      <w:pgSz w:w="11906" w:h="16838"/>
      <w:pgMar w:top="2098" w:right="1417" w:bottom="1701"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258"/>
    <w:rsid w:val="00024810"/>
    <w:rsid w:val="000414C6"/>
    <w:rsid w:val="00087FF0"/>
    <w:rsid w:val="000A2228"/>
    <w:rsid w:val="000C4173"/>
    <w:rsid w:val="00180AAA"/>
    <w:rsid w:val="00216261"/>
    <w:rsid w:val="00270C0E"/>
    <w:rsid w:val="002A188B"/>
    <w:rsid w:val="002B6F68"/>
    <w:rsid w:val="002F413B"/>
    <w:rsid w:val="00312B81"/>
    <w:rsid w:val="003D7EB2"/>
    <w:rsid w:val="00405DB6"/>
    <w:rsid w:val="00420F86"/>
    <w:rsid w:val="00481ED7"/>
    <w:rsid w:val="004D2882"/>
    <w:rsid w:val="00603C0A"/>
    <w:rsid w:val="00697EE4"/>
    <w:rsid w:val="00714451"/>
    <w:rsid w:val="00717EE3"/>
    <w:rsid w:val="007319F0"/>
    <w:rsid w:val="00732D81"/>
    <w:rsid w:val="00733F31"/>
    <w:rsid w:val="00741A40"/>
    <w:rsid w:val="00746739"/>
    <w:rsid w:val="007611C0"/>
    <w:rsid w:val="007F43FC"/>
    <w:rsid w:val="00892DC4"/>
    <w:rsid w:val="00904A64"/>
    <w:rsid w:val="00920A8C"/>
    <w:rsid w:val="00935E77"/>
    <w:rsid w:val="0096093C"/>
    <w:rsid w:val="00A93492"/>
    <w:rsid w:val="00AC222F"/>
    <w:rsid w:val="00AC6869"/>
    <w:rsid w:val="00AD49B5"/>
    <w:rsid w:val="00AF4E61"/>
    <w:rsid w:val="00BC6C51"/>
    <w:rsid w:val="00BD11E7"/>
    <w:rsid w:val="00BF42A9"/>
    <w:rsid w:val="00C458EC"/>
    <w:rsid w:val="00C61A42"/>
    <w:rsid w:val="00C762CA"/>
    <w:rsid w:val="00CA24FE"/>
    <w:rsid w:val="00D201BD"/>
    <w:rsid w:val="00D33F3A"/>
    <w:rsid w:val="00D34F7D"/>
    <w:rsid w:val="00D7673F"/>
    <w:rsid w:val="00E03F11"/>
    <w:rsid w:val="00E04258"/>
    <w:rsid w:val="00E82A61"/>
    <w:rsid w:val="00EA3993"/>
    <w:rsid w:val="00FA3378"/>
    <w:rsid w:val="00FE3091"/>
    <w:rsid w:val="0F492CAC"/>
    <w:rsid w:val="0FEC0077"/>
    <w:rsid w:val="148B50AD"/>
    <w:rsid w:val="2EEE0706"/>
    <w:rsid w:val="30C50D3D"/>
    <w:rsid w:val="36D819E2"/>
    <w:rsid w:val="3A4D4B9C"/>
    <w:rsid w:val="40F122BD"/>
    <w:rsid w:val="474667FF"/>
    <w:rsid w:val="4DE93206"/>
    <w:rsid w:val="529537C8"/>
    <w:rsid w:val="67424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1"/>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3"/>
    <w:semiHidden/>
    <w:qFormat/>
    <w:uiPriority w:val="99"/>
    <w:rPr>
      <w:kern w:val="2"/>
      <w:sz w:val="18"/>
      <w:szCs w:val="18"/>
    </w:rPr>
  </w:style>
  <w:style w:type="character" w:customStyle="1" w:styleId="10">
    <w:name w:val="页脚 Char"/>
    <w:basedOn w:val="8"/>
    <w:link w:val="2"/>
    <w:semiHidden/>
    <w:qFormat/>
    <w:uiPriority w:val="99"/>
    <w:rPr>
      <w:kern w:val="2"/>
      <w:sz w:val="18"/>
      <w:szCs w:val="18"/>
    </w:rPr>
  </w:style>
  <w:style w:type="character" w:customStyle="1" w:styleId="11">
    <w:name w:val="副标题 Char"/>
    <w:basedOn w:val="8"/>
    <w:link w:val="4"/>
    <w:qFormat/>
    <w:uiPriority w:val="11"/>
    <w:rPr>
      <w:rFonts w:eastAsia="宋体"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4</Pages>
  <Words>1562</Words>
  <Characters>1593</Characters>
  <Lines>14</Lines>
  <Paragraphs>3</Paragraphs>
  <TotalTime>98</TotalTime>
  <ScaleCrop>false</ScaleCrop>
  <LinksUpToDate>false</LinksUpToDate>
  <CharactersWithSpaces>1594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2020-01-15T01:40:00Z</dcterms:created>
  <dc:creator>China</dc:creator>
  <cp:lastModifiedBy>滕小飞</cp:lastModifiedBy>
  <dcterms:modified xsi:type="dcterms:W3CDTF">2020-12-29T07:10:14Z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