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40360">
      <w:pPr>
        <w:spacing w:line="580" w:lineRule="exact"/>
        <w:jc w:val="left"/>
        <w:rPr>
          <w:rFonts w:ascii="黑体" w:hAnsi="黑体" w:eastAsia="黑体" w:cs="黑体"/>
          <w:color w:val="000000"/>
          <w:kern w:val="0"/>
          <w:sz w:val="32"/>
          <w:szCs w:val="32"/>
          <w:highlight w:val="none"/>
          <w:lang w:bidi="ar"/>
        </w:rPr>
      </w:pPr>
      <w:r>
        <w:rPr>
          <w:rFonts w:hint="eastAsia" w:ascii="黑体" w:hAnsi="黑体" w:eastAsia="黑体" w:cs="黑体"/>
          <w:color w:val="000000"/>
          <w:kern w:val="0"/>
          <w:sz w:val="32"/>
          <w:szCs w:val="32"/>
          <w:highlight w:val="none"/>
          <w:lang w:bidi="ar"/>
        </w:rPr>
        <w:t>附件</w:t>
      </w:r>
    </w:p>
    <w:p w14:paraId="49E256BB">
      <w:pPr>
        <w:keepNext w:val="0"/>
        <w:keepLines w:val="0"/>
        <w:pageBreakBefore w:val="0"/>
        <w:widowControl w:val="0"/>
        <w:kinsoku/>
        <w:wordWrap/>
        <w:overflowPunct/>
        <w:topLinePunct w:val="0"/>
        <w:autoSpaceDE/>
        <w:autoSpaceDN/>
        <w:bidi w:val="0"/>
        <w:adjustRightInd/>
        <w:snapToGrid/>
        <w:spacing w:after="313" w:afterLines="100" w:line="580" w:lineRule="exact"/>
        <w:jc w:val="center"/>
        <w:textAlignment w:val="auto"/>
        <w:rPr>
          <w:rFonts w:hint="eastAsia" w:ascii="方正小标宋简体" w:hAnsi="方正小标宋简体" w:eastAsia="方正小标宋简体" w:cs="方正小标宋简体"/>
          <w:color w:val="000000"/>
          <w:kern w:val="0"/>
          <w:sz w:val="44"/>
          <w:szCs w:val="44"/>
          <w:highlight w:val="none"/>
          <w:lang w:bidi="ar"/>
        </w:rPr>
      </w:pPr>
      <w:bookmarkStart w:id="0" w:name="_GoBack"/>
      <w:r>
        <w:rPr>
          <w:rFonts w:hint="eastAsia" w:ascii="方正小标宋简体" w:hAnsi="方正小标宋简体" w:eastAsia="方正小标宋简体" w:cs="方正小标宋简体"/>
          <w:color w:val="000000"/>
          <w:kern w:val="0"/>
          <w:sz w:val="44"/>
          <w:szCs w:val="44"/>
          <w:highlight w:val="none"/>
          <w:lang w:bidi="ar"/>
        </w:rPr>
        <w:t>202</w:t>
      </w:r>
      <w:r>
        <w:rPr>
          <w:rFonts w:hint="eastAsia" w:ascii="方正小标宋简体" w:hAnsi="方正小标宋简体" w:eastAsia="方正小标宋简体" w:cs="方正小标宋简体"/>
          <w:color w:val="000000"/>
          <w:kern w:val="0"/>
          <w:sz w:val="44"/>
          <w:szCs w:val="44"/>
          <w:highlight w:val="none"/>
          <w:lang w:val="en-US" w:eastAsia="zh-CN" w:bidi="ar"/>
        </w:rPr>
        <w:t>6</w:t>
      </w:r>
      <w:r>
        <w:rPr>
          <w:rFonts w:hint="eastAsia" w:ascii="方正小标宋简体" w:hAnsi="方正小标宋简体" w:eastAsia="方正小标宋简体" w:cs="方正小标宋简体"/>
          <w:color w:val="000000"/>
          <w:kern w:val="0"/>
          <w:sz w:val="44"/>
          <w:szCs w:val="44"/>
          <w:highlight w:val="none"/>
          <w:lang w:bidi="ar"/>
        </w:rPr>
        <w:t>年</w:t>
      </w:r>
      <w:r>
        <w:rPr>
          <w:rFonts w:hint="eastAsia" w:ascii="方正小标宋简体" w:hAnsi="方正小标宋简体" w:eastAsia="方正小标宋简体" w:cs="方正小标宋简体"/>
          <w:color w:val="000000"/>
          <w:kern w:val="0"/>
          <w:sz w:val="44"/>
          <w:szCs w:val="44"/>
          <w:highlight w:val="none"/>
          <w:lang w:val="en-US" w:eastAsia="zh-CN" w:bidi="ar"/>
        </w:rPr>
        <w:t>周村区</w:t>
      </w:r>
      <w:r>
        <w:rPr>
          <w:rFonts w:hint="eastAsia" w:ascii="方正小标宋简体" w:hAnsi="方正小标宋简体" w:eastAsia="方正小标宋简体" w:cs="方正小标宋简体"/>
          <w:color w:val="000000"/>
          <w:kern w:val="0"/>
          <w:sz w:val="44"/>
          <w:szCs w:val="44"/>
          <w:highlight w:val="none"/>
          <w:lang w:bidi="ar"/>
        </w:rPr>
        <w:t>社会事务进入中小学校园事项白名单</w:t>
      </w:r>
    </w:p>
    <w:bookmarkEnd w:id="0"/>
    <w:tbl>
      <w:tblPr>
        <w:tblStyle w:val="8"/>
        <w:tblW w:w="145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
        <w:gridCol w:w="820"/>
        <w:gridCol w:w="2690"/>
        <w:gridCol w:w="5028"/>
        <w:gridCol w:w="1081"/>
        <w:gridCol w:w="876"/>
        <w:gridCol w:w="2890"/>
        <w:gridCol w:w="705"/>
      </w:tblGrid>
      <w:tr w14:paraId="5B34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blHeader/>
          <w:jc w:val="center"/>
        </w:trPr>
        <w:tc>
          <w:tcPr>
            <w:tcW w:w="465"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572598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序号</w:t>
            </w:r>
          </w:p>
        </w:tc>
        <w:tc>
          <w:tcPr>
            <w:tcW w:w="820"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1CF4CB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事项</w:t>
            </w:r>
          </w:p>
          <w:p w14:paraId="0256B1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名称</w:t>
            </w:r>
          </w:p>
        </w:tc>
        <w:tc>
          <w:tcPr>
            <w:tcW w:w="2690"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217B46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主要内容</w:t>
            </w:r>
          </w:p>
        </w:tc>
        <w:tc>
          <w:tcPr>
            <w:tcW w:w="502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3438AF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开展依据</w:t>
            </w:r>
          </w:p>
        </w:tc>
        <w:tc>
          <w:tcPr>
            <w:tcW w:w="1081"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247179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牵头单位</w:t>
            </w:r>
          </w:p>
        </w:tc>
        <w:tc>
          <w:tcPr>
            <w:tcW w:w="876"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0719D8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开展</w:t>
            </w:r>
          </w:p>
          <w:p w14:paraId="152BA2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时间</w:t>
            </w:r>
          </w:p>
        </w:tc>
        <w:tc>
          <w:tcPr>
            <w:tcW w:w="2890"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4A7790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开展形式</w:t>
            </w:r>
          </w:p>
        </w:tc>
        <w:tc>
          <w:tcPr>
            <w:tcW w:w="705"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15937F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进校园</w:t>
            </w:r>
          </w:p>
          <w:p w14:paraId="4A5E71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方式</w:t>
            </w:r>
          </w:p>
        </w:tc>
      </w:tr>
      <w:tr w14:paraId="46EF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5" w:hRule="atLeast"/>
          <w:jc w:val="center"/>
        </w:trPr>
        <w:tc>
          <w:tcPr>
            <w:tcW w:w="465"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7DC831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cs="宋体"/>
                <w:i w:val="0"/>
                <w:iCs w:val="0"/>
                <w:color w:val="000000"/>
                <w:kern w:val="0"/>
                <w:sz w:val="18"/>
                <w:szCs w:val="18"/>
                <w:highlight w:val="none"/>
                <w:u w:val="none"/>
                <w:lang w:val="en-US" w:eastAsia="zh-CN" w:bidi="ar"/>
              </w:rPr>
              <w:t>1</w:t>
            </w:r>
          </w:p>
        </w:tc>
        <w:tc>
          <w:tcPr>
            <w:tcW w:w="820"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0C4FDD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红色基因传承教育</w:t>
            </w:r>
          </w:p>
        </w:tc>
        <w:tc>
          <w:tcPr>
            <w:tcW w:w="2690"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05ECC1E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鼓励大中小学师生通过红色故事讲解、红色短剧排演、经典诵读、红色短视频拍摄制作等形式，运用好</w:t>
            </w:r>
            <w:r>
              <w:rPr>
                <w:rFonts w:hint="eastAsia" w:ascii="宋体" w:hAnsi="宋体" w:cs="宋体"/>
                <w:i w:val="0"/>
                <w:iCs w:val="0"/>
                <w:color w:val="000000"/>
                <w:kern w:val="0"/>
                <w:sz w:val="18"/>
                <w:szCs w:val="18"/>
                <w:highlight w:val="none"/>
                <w:u w:val="none"/>
                <w:lang w:val="en-US" w:eastAsia="zh-CN" w:bidi="ar"/>
              </w:rPr>
              <w:t>周村</w:t>
            </w:r>
            <w:r>
              <w:rPr>
                <w:rFonts w:hint="eastAsia" w:ascii="宋体" w:hAnsi="宋体" w:eastAsia="宋体" w:cs="宋体"/>
                <w:i w:val="0"/>
                <w:iCs w:val="0"/>
                <w:color w:val="000000"/>
                <w:kern w:val="0"/>
                <w:sz w:val="18"/>
                <w:szCs w:val="18"/>
                <w:highlight w:val="none"/>
                <w:u w:val="none"/>
                <w:lang w:val="en-US" w:eastAsia="zh-CN" w:bidi="ar"/>
              </w:rPr>
              <w:t>红色资源，加强青少年理想信念教育，弘扬“一马三司令”</w:t>
            </w:r>
            <w:r>
              <w:rPr>
                <w:rFonts w:hint="eastAsia" w:ascii="宋体" w:hAnsi="宋体" w:cs="宋体"/>
                <w:i w:val="0"/>
                <w:iCs w:val="0"/>
                <w:color w:val="000000"/>
                <w:kern w:val="0"/>
                <w:sz w:val="18"/>
                <w:szCs w:val="18"/>
                <w:highlight w:val="none"/>
                <w:u w:val="none"/>
                <w:lang w:val="en-US" w:eastAsia="zh-CN" w:bidi="ar"/>
              </w:rPr>
              <w:t>精神</w:t>
            </w:r>
            <w:r>
              <w:rPr>
                <w:rFonts w:hint="eastAsia" w:ascii="宋体" w:hAnsi="宋体" w:eastAsia="宋体" w:cs="宋体"/>
                <w:i w:val="0"/>
                <w:iCs w:val="0"/>
                <w:color w:val="000000"/>
                <w:kern w:val="0"/>
                <w:sz w:val="18"/>
                <w:szCs w:val="18"/>
                <w:highlight w:val="none"/>
                <w:u w:val="none"/>
                <w:lang w:val="en-US" w:eastAsia="zh-CN" w:bidi="ar"/>
              </w:rPr>
              <w:t>，激发青少年铭记革命历史、尊崇英雄烈士、传承红色基因、继承优良传统的热情，推动红色基因代代相传。凝聚实现民族复兴强大力量，宣讲英烈事迹和精神，传承弘扬红色文化，赓续红色血脉。</w:t>
            </w:r>
          </w:p>
        </w:tc>
        <w:tc>
          <w:tcPr>
            <w:tcW w:w="5028"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063E190C">
            <w:pPr>
              <w:keepNext w:val="0"/>
              <w:keepLines w:val="0"/>
              <w:pageBreakBefore w:val="0"/>
              <w:widowControl/>
              <w:numPr>
                <w:ilvl w:val="0"/>
                <w:numId w:val="0"/>
              </w:numPr>
              <w:suppressLineNumbers w:val="0"/>
              <w:tabs>
                <w:tab w:val="left" w:pos="220"/>
              </w:tabs>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中华人民共和国英雄烈士保护法》第三、四、六、十七条；2.《山东省红色基因传承工程实施方案（2023—2027年）》（鲁宣组发〔2023〕2号）；3.《山东省传承弘扬沂蒙精神条例》（省人大常委会通过，2025年7月1日正式实施）；4.《关于加强和改进未成年人思想道德建设的意见》（中办发〔2025〕38号）；5.《关于实施全环境立德树人 加强和改进未成年人思想道德建设的意见》（鲁教组发〔2022〕1号）；6.《关于加强和改进未成年人思想道德建设的实施方案》（鲁宣思文办发〔2026〕8号）。</w:t>
            </w:r>
          </w:p>
        </w:tc>
        <w:tc>
          <w:tcPr>
            <w:tcW w:w="1081"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714FE8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cs="宋体"/>
                <w:i w:val="0"/>
                <w:iCs w:val="0"/>
                <w:color w:val="000000"/>
                <w:kern w:val="0"/>
                <w:sz w:val="18"/>
                <w:szCs w:val="18"/>
                <w:highlight w:val="none"/>
                <w:u w:val="none"/>
                <w:lang w:val="en-US" w:eastAsia="zh-CN" w:bidi="ar"/>
              </w:rPr>
              <w:t>区委宣传部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区退役军人事务局</w:t>
            </w:r>
          </w:p>
        </w:tc>
        <w:tc>
          <w:tcPr>
            <w:tcW w:w="876"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581D23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全年</w:t>
            </w:r>
          </w:p>
        </w:tc>
        <w:tc>
          <w:tcPr>
            <w:tcW w:w="2890"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3AB599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结合实际，通过英烈故事宣讲等方式开展宣教活动；开展主题实践活动。</w:t>
            </w:r>
          </w:p>
        </w:tc>
        <w:tc>
          <w:tcPr>
            <w:tcW w:w="705" w:type="dxa"/>
            <w:tcBorders>
              <w:top w:val="single" w:color="000000"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04384E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专项</w:t>
            </w:r>
          </w:p>
        </w:tc>
      </w:tr>
    </w:tbl>
    <w:p w14:paraId="4B6E0C76"/>
    <w:p w14:paraId="0B9E5181">
      <w:pPr>
        <w:pStyle w:val="2"/>
      </w:pPr>
    </w:p>
    <w:tbl>
      <w:tblPr>
        <w:tblStyle w:val="8"/>
        <w:tblW w:w="143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
        <w:gridCol w:w="807"/>
        <w:gridCol w:w="2646"/>
        <w:gridCol w:w="4943"/>
        <w:gridCol w:w="1064"/>
        <w:gridCol w:w="862"/>
        <w:gridCol w:w="2747"/>
        <w:gridCol w:w="788"/>
      </w:tblGrid>
      <w:tr w14:paraId="0C48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blHeader/>
          <w:jc w:val="center"/>
        </w:trPr>
        <w:tc>
          <w:tcPr>
            <w:tcW w:w="45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73C7CD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序号</w:t>
            </w:r>
          </w:p>
        </w:tc>
        <w:tc>
          <w:tcPr>
            <w:tcW w:w="80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64954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事项</w:t>
            </w:r>
          </w:p>
          <w:p w14:paraId="370A62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名称</w:t>
            </w:r>
          </w:p>
        </w:tc>
        <w:tc>
          <w:tcPr>
            <w:tcW w:w="2646"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073AD9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主要内容</w:t>
            </w:r>
          </w:p>
        </w:tc>
        <w:tc>
          <w:tcPr>
            <w:tcW w:w="4943"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1B5A65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开展依据</w:t>
            </w:r>
          </w:p>
        </w:tc>
        <w:tc>
          <w:tcPr>
            <w:tcW w:w="1064"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4ECE8D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牵头单位</w:t>
            </w:r>
          </w:p>
        </w:tc>
        <w:tc>
          <w:tcPr>
            <w:tcW w:w="862"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5199AF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开展</w:t>
            </w:r>
          </w:p>
          <w:p w14:paraId="7E4232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时间</w:t>
            </w:r>
          </w:p>
        </w:tc>
        <w:tc>
          <w:tcPr>
            <w:tcW w:w="274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3F28D2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2"/>
                <w:szCs w:val="22"/>
                <w:highlight w:val="none"/>
                <w:u w:val="none"/>
              </w:rPr>
            </w:pPr>
            <w:r>
              <w:rPr>
                <w:rFonts w:hint="eastAsia" w:ascii="黑体" w:hAnsi="宋体" w:eastAsia="黑体" w:cs="黑体"/>
                <w:i w:val="0"/>
                <w:iCs w:val="0"/>
                <w:color w:val="000000"/>
                <w:kern w:val="0"/>
                <w:sz w:val="22"/>
                <w:szCs w:val="22"/>
                <w:highlight w:val="none"/>
                <w:u w:val="none"/>
                <w:lang w:val="en-US" w:eastAsia="zh-CN" w:bidi="ar"/>
              </w:rPr>
              <w:t>开展形式</w:t>
            </w:r>
          </w:p>
        </w:tc>
        <w:tc>
          <w:tcPr>
            <w:tcW w:w="78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F2FD8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进校园</w:t>
            </w:r>
          </w:p>
          <w:p w14:paraId="4EF0E1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黑体" w:hAnsi="宋体" w:eastAsia="黑体" w:cs="黑体"/>
                <w:i w:val="0"/>
                <w:iCs w:val="0"/>
                <w:color w:val="000000"/>
                <w:kern w:val="0"/>
                <w:sz w:val="22"/>
                <w:szCs w:val="22"/>
                <w:highlight w:val="none"/>
                <w:u w:val="none"/>
                <w:lang w:val="en-US" w:eastAsia="zh-CN" w:bidi="ar"/>
              </w:rPr>
            </w:pPr>
            <w:r>
              <w:rPr>
                <w:rFonts w:hint="eastAsia" w:ascii="黑体" w:hAnsi="宋体" w:eastAsia="黑体" w:cs="黑体"/>
                <w:i w:val="0"/>
                <w:iCs w:val="0"/>
                <w:color w:val="000000"/>
                <w:kern w:val="0"/>
                <w:sz w:val="22"/>
                <w:szCs w:val="22"/>
                <w:highlight w:val="none"/>
                <w:u w:val="none"/>
                <w:lang w:val="en-US" w:eastAsia="zh-CN" w:bidi="ar"/>
              </w:rPr>
              <w:t>方式</w:t>
            </w:r>
          </w:p>
        </w:tc>
      </w:tr>
      <w:tr w14:paraId="464F8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5" w:hRule="atLeast"/>
          <w:jc w:val="center"/>
        </w:trPr>
        <w:tc>
          <w:tcPr>
            <w:tcW w:w="458"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145B63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w:t>
            </w:r>
          </w:p>
        </w:tc>
        <w:tc>
          <w:tcPr>
            <w:tcW w:w="807"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761558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安全教育</w:t>
            </w:r>
          </w:p>
        </w:tc>
        <w:tc>
          <w:tcPr>
            <w:tcW w:w="2646"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7DD5AECA">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lang w:val="en-US" w:eastAsia="zh-CN" w:bidi="ar"/>
              </w:rPr>
              <w:t>1.</w:t>
            </w:r>
            <w:r>
              <w:rPr>
                <w:rFonts w:hint="eastAsia" w:ascii="宋体" w:hAnsi="宋体" w:eastAsia="宋体" w:cs="宋体"/>
                <w:i w:val="0"/>
                <w:iCs w:val="0"/>
                <w:color w:val="auto"/>
                <w:kern w:val="0"/>
                <w:sz w:val="18"/>
                <w:szCs w:val="18"/>
                <w:highlight w:val="none"/>
                <w:u w:val="none"/>
                <w:lang w:val="en-US" w:eastAsia="zh-CN" w:bidi="ar"/>
              </w:rPr>
              <w:t>通过多种形式的宣传活动，使广大青少年掌握地震成因、灾害特点、避险要领等知识，通过学生带动家庭落实防震准备，提高全社会的防震减灾意识、识别地震谣言的能力以及地震来临时的紧急逃生避险能力、自救互救能力，推广灾害预防文化，提高全民防灾素质，最大限度减少地震灾害造成的人员伤亡和财产损失。</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2.围绕当前高发的针对学生的刷单返利、网游交易、AI诈骗、冒充熟人等诈骗类型，普及防范知识，揭示作案手法，提升学生识别、抵制诈骗的意识和能力，筑牢校园反诈防火墙。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.开展安全和防灾减灾知识科普。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.科普森林火灾的危害、火灾原因及预防措施等防火知识、森林火灾应急方法等。</w:t>
            </w:r>
          </w:p>
          <w:p w14:paraId="6748EB2B">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5.开展地质灾害防治知识科普宣传，提高师生防灾避险意识，掌握自救互救技能。</w:t>
            </w:r>
          </w:p>
        </w:tc>
        <w:tc>
          <w:tcPr>
            <w:tcW w:w="4943"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100AA8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iCs w:val="0"/>
                <w:color w:val="0000FF"/>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中华人民共和国反电信网络诈骗法》；2.中央及省委、省政府关于打击治理电信网络诈骗犯罪工作的系列部署要求；3.《加强学校防范治理电信网络诈骗违法犯罪工作方案》；4.《关于组织开展“开学反诈第一课”防范电信网络诈骗集中宣传活动的通知》（鲁公通〔2025〕88号）；5.《全面深化学校防范治理电信网络诈骗专项行动方案》（鲁教安函〔2025〕33号）；6.《防震减灾法》第44条：学校应当进行地震应急知识教育，组织开展必要的地震应急救援演练，培养学生的安全意识和自救互救能力。以及《山东省防震减灾条例》《山东省防震减灾知识普及办法》中的有关规定；7.习近平总书记在中央政治局第十九次集体学习时指出，要坚持群众观点和群众路线，坚持社会共治，完善公民安全教育体系，推动安全宣传进企业、进农村、进社区、进学校、进家庭，加强公益宣传，普及安全知识；</w:t>
            </w:r>
            <w:r>
              <w:rPr>
                <w:rFonts w:hint="eastAsia" w:ascii="宋体" w:hAnsi="宋体" w:cs="宋体"/>
                <w:i w:val="0"/>
                <w:iCs w:val="0"/>
                <w:color w:val="auto"/>
                <w:kern w:val="0"/>
                <w:sz w:val="18"/>
                <w:szCs w:val="18"/>
                <w:highlight w:val="none"/>
                <w:u w:val="none"/>
                <w:lang w:val="en-US" w:eastAsia="zh-CN" w:bidi="ar"/>
              </w:rPr>
              <w:t>8</w:t>
            </w:r>
            <w:r>
              <w:rPr>
                <w:rFonts w:hint="eastAsia" w:ascii="宋体" w:hAnsi="宋体" w:eastAsia="宋体" w:cs="宋体"/>
                <w:i w:val="0"/>
                <w:iCs w:val="0"/>
                <w:color w:val="auto"/>
                <w:kern w:val="0"/>
                <w:sz w:val="18"/>
                <w:szCs w:val="18"/>
                <w:highlight w:val="none"/>
                <w:u w:val="none"/>
                <w:lang w:val="en-US" w:eastAsia="zh-CN" w:bidi="ar"/>
              </w:rPr>
              <w:t>.国务院安委会办公室、应急管理部《关于印发〈推进安全宣传“五进”工作方案〉的通知》（安委办〔2020〕3号）；</w:t>
            </w:r>
            <w:r>
              <w:rPr>
                <w:rFonts w:hint="eastAsia" w:ascii="宋体" w:hAnsi="宋体" w:cs="宋体"/>
                <w:i w:val="0"/>
                <w:iCs w:val="0"/>
                <w:color w:val="auto"/>
                <w:kern w:val="0"/>
                <w:sz w:val="18"/>
                <w:szCs w:val="18"/>
                <w:highlight w:val="none"/>
                <w:u w:val="none"/>
                <w:lang w:val="en-US" w:eastAsia="zh-CN" w:bidi="ar"/>
              </w:rPr>
              <w:t>9</w:t>
            </w:r>
            <w:r>
              <w:rPr>
                <w:rFonts w:hint="eastAsia" w:ascii="宋体" w:hAnsi="宋体" w:eastAsia="宋体" w:cs="宋体"/>
                <w:i w:val="0"/>
                <w:iCs w:val="0"/>
                <w:color w:val="auto"/>
                <w:kern w:val="0"/>
                <w:sz w:val="18"/>
                <w:szCs w:val="18"/>
                <w:highlight w:val="none"/>
                <w:u w:val="none"/>
                <w:lang w:val="en-US" w:eastAsia="zh-CN" w:bidi="ar"/>
              </w:rPr>
              <w:t>.《山东省安全生产条例》要求加强安全生产法律法规和安全生产知识的宣传，并将其纳入干部培训内容和国民教育体系，增强全社会的安全生产意识和安全防范能力；</w:t>
            </w:r>
            <w:r>
              <w:rPr>
                <w:rFonts w:hint="eastAsia" w:ascii="宋体" w:hAnsi="宋体" w:cs="宋体"/>
                <w:i w:val="0"/>
                <w:iCs w:val="0"/>
                <w:color w:val="auto"/>
                <w:kern w:val="0"/>
                <w:sz w:val="18"/>
                <w:szCs w:val="18"/>
                <w:highlight w:val="none"/>
                <w:u w:val="none"/>
                <w:lang w:val="en-US" w:eastAsia="zh-CN" w:bidi="ar"/>
              </w:rPr>
              <w:t>10</w:t>
            </w:r>
            <w:r>
              <w:rPr>
                <w:rFonts w:hint="eastAsia" w:ascii="宋体" w:hAnsi="宋体" w:eastAsia="宋体" w:cs="宋体"/>
                <w:i w:val="0"/>
                <w:iCs w:val="0"/>
                <w:color w:val="auto"/>
                <w:kern w:val="0"/>
                <w:sz w:val="18"/>
                <w:szCs w:val="18"/>
                <w:highlight w:val="none"/>
                <w:u w:val="none"/>
                <w:lang w:val="en-US" w:eastAsia="zh-CN" w:bidi="ar"/>
              </w:rPr>
              <w:t>.《森林</w:t>
            </w:r>
            <w:r>
              <w:rPr>
                <w:rFonts w:hint="eastAsia" w:ascii="宋体" w:hAnsi="宋体" w:cs="宋体"/>
                <w:i w:val="0"/>
                <w:iCs w:val="0"/>
                <w:color w:val="auto"/>
                <w:kern w:val="0"/>
                <w:sz w:val="18"/>
                <w:szCs w:val="18"/>
                <w:highlight w:val="none"/>
                <w:u w:val="none"/>
                <w:lang w:val="en-US" w:eastAsia="zh-CN" w:bidi="ar"/>
              </w:rPr>
              <w:t>草原</w:t>
            </w:r>
            <w:r>
              <w:rPr>
                <w:rFonts w:hint="eastAsia" w:ascii="宋体" w:hAnsi="宋体" w:eastAsia="宋体" w:cs="宋体"/>
                <w:i w:val="0"/>
                <w:iCs w:val="0"/>
                <w:color w:val="auto"/>
                <w:kern w:val="0"/>
                <w:sz w:val="18"/>
                <w:szCs w:val="18"/>
                <w:highlight w:val="none"/>
                <w:u w:val="none"/>
                <w:lang w:val="en-US" w:eastAsia="zh-CN" w:bidi="ar"/>
              </w:rPr>
              <w:t>防</w:t>
            </w:r>
            <w:r>
              <w:rPr>
                <w:rFonts w:hint="eastAsia" w:ascii="宋体" w:hAnsi="宋体" w:cs="宋体"/>
                <w:i w:val="0"/>
                <w:iCs w:val="0"/>
                <w:color w:val="auto"/>
                <w:kern w:val="0"/>
                <w:sz w:val="18"/>
                <w:szCs w:val="18"/>
                <w:highlight w:val="none"/>
                <w:u w:val="none"/>
                <w:lang w:val="en-US" w:eastAsia="zh-CN" w:bidi="ar"/>
              </w:rPr>
              <w:t>灭</w:t>
            </w:r>
            <w:r>
              <w:rPr>
                <w:rFonts w:hint="eastAsia" w:ascii="宋体" w:hAnsi="宋体" w:eastAsia="宋体" w:cs="宋体"/>
                <w:i w:val="0"/>
                <w:iCs w:val="0"/>
                <w:color w:val="auto"/>
                <w:kern w:val="0"/>
                <w:sz w:val="18"/>
                <w:szCs w:val="18"/>
                <w:highlight w:val="none"/>
                <w:u w:val="none"/>
                <w:lang w:val="en-US" w:eastAsia="zh-CN" w:bidi="ar"/>
              </w:rPr>
              <w:t>火条例》第十</w:t>
            </w:r>
            <w:r>
              <w:rPr>
                <w:rFonts w:hint="eastAsia" w:ascii="宋体" w:hAnsi="宋体" w:cs="宋体"/>
                <w:i w:val="0"/>
                <w:iCs w:val="0"/>
                <w:color w:val="auto"/>
                <w:kern w:val="0"/>
                <w:sz w:val="18"/>
                <w:szCs w:val="18"/>
                <w:highlight w:val="none"/>
                <w:u w:val="none"/>
                <w:lang w:val="en-US" w:eastAsia="zh-CN" w:bidi="ar"/>
              </w:rPr>
              <w:t>一</w:t>
            </w:r>
            <w:r>
              <w:rPr>
                <w:rFonts w:hint="eastAsia" w:ascii="宋体" w:hAnsi="宋体" w:eastAsia="宋体" w:cs="宋体"/>
                <w:i w:val="0"/>
                <w:iCs w:val="0"/>
                <w:color w:val="auto"/>
                <w:kern w:val="0"/>
                <w:sz w:val="18"/>
                <w:szCs w:val="18"/>
                <w:highlight w:val="none"/>
                <w:u w:val="none"/>
                <w:lang w:val="en-US" w:eastAsia="zh-CN" w:bidi="ar"/>
              </w:rPr>
              <w:t>条，中办、国办《关于全面加强新形势下森林草原防灭火工作的意见》</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cs="宋体"/>
                <w:b w:val="0"/>
                <w:bCs w:val="0"/>
                <w:i w:val="0"/>
                <w:iCs w:val="0"/>
                <w:color w:val="auto"/>
                <w:kern w:val="0"/>
                <w:sz w:val="18"/>
                <w:szCs w:val="18"/>
                <w:highlight w:val="none"/>
                <w:u w:val="none"/>
                <w:lang w:val="en-US" w:eastAsia="zh-CN" w:bidi="ar"/>
              </w:rPr>
              <w:t>11.《地质灾害防治条例》第六条，县级以上人民政府应当组织有关部门开展地质灾害防治知识的宣传教育，增强公众的地质灾害防治意识和自救、互救能力。</w:t>
            </w:r>
          </w:p>
        </w:tc>
        <w:tc>
          <w:tcPr>
            <w:tcW w:w="1064"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1FE0A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FF"/>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区公安分局</w:t>
            </w:r>
            <w:r>
              <w:rPr>
                <w:rFonts w:hint="eastAsia" w:ascii="宋体" w:hAnsi="宋体" w:eastAsia="宋体" w:cs="宋体"/>
                <w:i w:val="0"/>
                <w:iCs w:val="0"/>
                <w:color w:val="0000FF"/>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区</w:t>
            </w:r>
            <w:r>
              <w:rPr>
                <w:rFonts w:hint="eastAsia" w:ascii="宋体" w:hAnsi="宋体" w:eastAsia="宋体" w:cs="宋体"/>
                <w:i w:val="0"/>
                <w:iCs w:val="0"/>
                <w:color w:val="auto"/>
                <w:kern w:val="0"/>
                <w:sz w:val="18"/>
                <w:szCs w:val="18"/>
                <w:highlight w:val="none"/>
                <w:u w:val="none"/>
                <w:lang w:val="en-US" w:eastAsia="zh-CN" w:bidi="ar"/>
              </w:rPr>
              <w:t>应急管理</w:t>
            </w:r>
            <w:r>
              <w:rPr>
                <w:rFonts w:hint="eastAsia" w:ascii="宋体" w:hAnsi="宋体" w:cs="宋体"/>
                <w:i w:val="0"/>
                <w:iCs w:val="0"/>
                <w:color w:val="auto"/>
                <w:kern w:val="0"/>
                <w:sz w:val="18"/>
                <w:szCs w:val="18"/>
                <w:highlight w:val="none"/>
                <w:u w:val="none"/>
                <w:lang w:val="en-US" w:eastAsia="zh-CN" w:bidi="ar"/>
              </w:rPr>
              <w:t>局（区地震局）</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区自然资源局</w:t>
            </w:r>
          </w:p>
        </w:tc>
        <w:tc>
          <w:tcPr>
            <w:tcW w:w="862"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2BADC2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FF"/>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全年</w:t>
            </w:r>
          </w:p>
        </w:tc>
        <w:tc>
          <w:tcPr>
            <w:tcW w:w="2747"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4F7585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FF"/>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开学第一课”专题宣讲：组织反诈教官、法治副校长进校举办讲座；2.常态化课程融入：公安机关提供标准化的反诈安全教育课件、视频等资源，供学校在“1530”等机制中融入使用；3.主题班会/团日活动：公安机关提供最新案例素材、情景模拟脚本，支持班级开展体验式反诈班会；4.家校社协同宣传：通过家长会、致家长信、家校群推送预警信息；5.线上矩阵宣传：利用公众号、安全教育平台推送案例、开展知识竞答；6.风险排查与复盘：公安机关联合学校对重点风险进行摸排；发案后，主动入校开展复盘补课，并提供心理干预支持</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7.阵地氛围营造：在校园宣传栏、电子屏、食堂、宿舍等区域投放公安机关提供的宣传资料；</w:t>
            </w:r>
            <w:r>
              <w:rPr>
                <w:rFonts w:hint="eastAsia" w:ascii="宋体" w:hAnsi="宋体" w:cs="宋体"/>
                <w:i w:val="0"/>
                <w:iCs w:val="0"/>
                <w:color w:val="auto"/>
                <w:kern w:val="0"/>
                <w:sz w:val="18"/>
                <w:szCs w:val="18"/>
                <w:highlight w:val="none"/>
                <w:u w:val="none"/>
                <w:lang w:val="en-US" w:eastAsia="zh-CN" w:bidi="ar"/>
              </w:rPr>
              <w:t>8</w:t>
            </w:r>
            <w:r>
              <w:rPr>
                <w:rFonts w:hint="eastAsia" w:ascii="宋体" w:hAnsi="宋体" w:eastAsia="宋体" w:cs="宋体"/>
                <w:i w:val="0"/>
                <w:iCs w:val="0"/>
                <w:color w:val="auto"/>
                <w:kern w:val="0"/>
                <w:sz w:val="18"/>
                <w:szCs w:val="18"/>
                <w:highlight w:val="none"/>
                <w:u w:val="none"/>
                <w:lang w:val="en-US" w:eastAsia="zh-CN" w:bidi="ar"/>
              </w:rPr>
              <w:t>.品牌活动引领：组织进校园开展反诈宣讲、反诈脱口秀比赛、知识竞赛、原创文艺作品征集等活动；</w:t>
            </w:r>
            <w:r>
              <w:rPr>
                <w:rFonts w:hint="eastAsia" w:ascii="宋体" w:hAnsi="宋体" w:cs="宋体"/>
                <w:i w:val="0"/>
                <w:iCs w:val="0"/>
                <w:color w:val="auto"/>
                <w:kern w:val="0"/>
                <w:sz w:val="18"/>
                <w:szCs w:val="18"/>
                <w:highlight w:val="none"/>
                <w:u w:val="none"/>
                <w:lang w:val="en-US" w:eastAsia="zh-CN" w:bidi="ar"/>
              </w:rPr>
              <w:t>9</w:t>
            </w:r>
            <w:r>
              <w:rPr>
                <w:rFonts w:hint="eastAsia" w:ascii="宋体" w:hAnsi="宋体" w:eastAsia="宋体" w:cs="宋体"/>
                <w:i w:val="0"/>
                <w:iCs w:val="0"/>
                <w:color w:val="auto"/>
                <w:kern w:val="0"/>
                <w:sz w:val="18"/>
                <w:szCs w:val="18"/>
                <w:highlight w:val="none"/>
                <w:u w:val="none"/>
                <w:lang w:val="en-US" w:eastAsia="zh-CN" w:bidi="ar"/>
              </w:rPr>
              <w:t>.防震减灾科普讲座、地震逃生避险演练、主题班会、手抄报、科学课安全课地理课延伸教学等；</w:t>
            </w:r>
            <w:r>
              <w:rPr>
                <w:rFonts w:hint="eastAsia" w:ascii="宋体" w:hAnsi="宋体" w:cs="宋体"/>
                <w:i w:val="0"/>
                <w:iCs w:val="0"/>
                <w:color w:val="auto"/>
                <w:kern w:val="0"/>
                <w:sz w:val="18"/>
                <w:szCs w:val="18"/>
                <w:highlight w:val="none"/>
                <w:u w:val="none"/>
                <w:lang w:val="en-US" w:eastAsia="zh-CN" w:bidi="ar"/>
              </w:rPr>
              <w:t>10</w:t>
            </w:r>
            <w:r>
              <w:rPr>
                <w:rFonts w:hint="eastAsia" w:ascii="宋体" w:hAnsi="宋体" w:eastAsia="宋体" w:cs="宋体"/>
                <w:i w:val="0"/>
                <w:iCs w:val="0"/>
                <w:color w:val="auto"/>
                <w:kern w:val="0"/>
                <w:sz w:val="18"/>
                <w:szCs w:val="18"/>
                <w:highlight w:val="none"/>
                <w:u w:val="none"/>
                <w:lang w:val="en-US" w:eastAsia="zh-CN" w:bidi="ar"/>
              </w:rPr>
              <w:t>.线上+线下结合方式开展，现场教学</w:t>
            </w:r>
            <w:r>
              <w:rPr>
                <w:rFonts w:hint="eastAsia" w:ascii="宋体" w:hAnsi="宋体" w:cs="宋体"/>
                <w:i w:val="0"/>
                <w:iCs w:val="0"/>
                <w:color w:val="auto"/>
                <w:kern w:val="0"/>
                <w:sz w:val="18"/>
                <w:szCs w:val="18"/>
                <w:highlight w:val="none"/>
                <w:u w:val="none"/>
                <w:lang w:val="en-US" w:eastAsia="zh-CN" w:bidi="ar"/>
              </w:rPr>
              <w:t>。11.向校园发放地质灾害防治宣传册、动画片、视频等。</w:t>
            </w:r>
          </w:p>
        </w:tc>
        <w:tc>
          <w:tcPr>
            <w:tcW w:w="788" w:type="dxa"/>
            <w:tcBorders>
              <w:top w:val="single" w:color="auto" w:sz="4" w:space="0"/>
              <w:left w:val="single" w:color="000000" w:sz="4" w:space="0"/>
              <w:bottom w:val="single" w:color="auto" w:sz="4" w:space="0"/>
              <w:right w:val="single" w:color="000000" w:sz="4" w:space="0"/>
            </w:tcBorders>
            <w:shd w:val="clear" w:color="auto" w:fill="auto"/>
            <w:noWrap w:val="0"/>
            <w:tcMar>
              <w:top w:w="0" w:type="dxa"/>
              <w:left w:w="11" w:type="dxa"/>
              <w:bottom w:w="0" w:type="dxa"/>
              <w:right w:w="11" w:type="dxa"/>
            </w:tcMar>
            <w:vAlign w:val="center"/>
          </w:tcPr>
          <w:p w14:paraId="3A4B0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0000FF"/>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专项</w:t>
            </w:r>
          </w:p>
        </w:tc>
      </w:tr>
      <w:tr w14:paraId="50DA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9" w:hRule="atLeast"/>
          <w:jc w:val="center"/>
        </w:trPr>
        <w:tc>
          <w:tcPr>
            <w:tcW w:w="458"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7F78EF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cs="宋体"/>
                <w:i w:val="0"/>
                <w:iCs w:val="0"/>
                <w:color w:val="000000"/>
                <w:kern w:val="0"/>
                <w:sz w:val="18"/>
                <w:szCs w:val="18"/>
                <w:highlight w:val="none"/>
                <w:u w:val="none"/>
                <w:lang w:val="en-US" w:eastAsia="zh-CN" w:bidi="ar"/>
              </w:rPr>
              <w:t>3</w:t>
            </w:r>
          </w:p>
        </w:tc>
        <w:tc>
          <w:tcPr>
            <w:tcW w:w="807"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2E7B5BB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科学教育</w:t>
            </w:r>
          </w:p>
        </w:tc>
        <w:tc>
          <w:tcPr>
            <w:tcW w:w="2646"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4D43379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聚焦“弘扬科学家精神 点亮科学梦想”主题，面向全区青少年讲好科学家故事，开展科普大讲堂、科学家精神宣讲进校园等线上、线下宣讲活动；以科普大篷车、流动科技馆为载体，开展流动科普巡展项目；围绕科技创新后备人才培养，组织参加全市各项青少年科技赛事活动；聚焦科技教师专业素养提升，组织参加全市范围中小学科技教师专业素养提升交流活动；开展优质数字科普资源进校园活动。</w:t>
            </w:r>
          </w:p>
        </w:tc>
        <w:tc>
          <w:tcPr>
            <w:tcW w:w="4943"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5E07EFB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中央办公厅、国务院办公厅《关于进一步弘扬科学家精神加强作风和学风建设的意见》；2.省委办公厅、省政府办公厅《关于弘扬科学家精神加强科研诚信建设的若干措施》；3.《山东省“科学家（精神）进校园行动”实施方案》；4.国务院《全民科学素质行动计划纲要（2021—2035年)》；5.《关于加强新时代中小学科学教育工作的意见》；6.《省教育厅等部门关于加强中小学科学教育推进拔尖创新后备人才培养的若干措施的通知》。</w:t>
            </w:r>
          </w:p>
        </w:tc>
        <w:tc>
          <w:tcPr>
            <w:tcW w:w="1064"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23C6D33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区科协</w:t>
            </w:r>
          </w:p>
        </w:tc>
        <w:tc>
          <w:tcPr>
            <w:tcW w:w="862"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766BF55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全年</w:t>
            </w:r>
          </w:p>
        </w:tc>
        <w:tc>
          <w:tcPr>
            <w:tcW w:w="2747"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0B403FC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将弘扬科学家精神、科学精神育人实践、流动科普巡展、数字科普资源等融入课程、主题实践。</w:t>
            </w:r>
          </w:p>
        </w:tc>
        <w:tc>
          <w:tcPr>
            <w:tcW w:w="788" w:type="dxa"/>
            <w:tcBorders>
              <w:top w:val="single" w:color="auto"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2DF0F39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i w:val="0"/>
                <w:iCs w:val="0"/>
                <w:color w:val="auto"/>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融入</w:t>
            </w:r>
          </w:p>
          <w:p w14:paraId="0BA0443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课程</w:t>
            </w:r>
          </w:p>
        </w:tc>
      </w:tr>
      <w:tr w14:paraId="38E18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0" w:hRule="atLeast"/>
          <w:jc w:val="center"/>
        </w:trPr>
        <w:tc>
          <w:tcPr>
            <w:tcW w:w="45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423ADD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4</w:t>
            </w:r>
          </w:p>
        </w:tc>
        <w:tc>
          <w:tcPr>
            <w:tcW w:w="80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05953E4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毒品预防教育</w:t>
            </w:r>
          </w:p>
        </w:tc>
        <w:tc>
          <w:tcPr>
            <w:tcW w:w="2646"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963202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通过模型展览、教育宣讲等形式，向在校学生及家长普及禁毒知识、药物和未列管成瘾性物质滥用危害；根据学校需求，组织学生到戒毒场所开展互动体验式警示教育；针对“笑气”等未列管成瘾性物质滥用的未成年学生及家庭，开展戒治康复家庭教育指导服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通过参观禁毒展馆、开展主题班会、禁毒知识答题、禁毒作品征集、观看禁毒影视作品等，向在校学生普及禁毒法律法规知识、成瘾物质的药物滥用等内容，开展互动体验式教育，把防范青少年药物滥用纳入学校禁毒专题教育、卫生健康教育内容，培育一批中小学毒品预防教育工作典型。</w:t>
            </w:r>
          </w:p>
        </w:tc>
        <w:tc>
          <w:tcPr>
            <w:tcW w:w="4943"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37EF8F2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1.2025年，习近平总书记在新华社《国内动态清样》等内部参考刊物中针对“笑气”等未列管成瘾性物质滥用治理问题作出重要批示；2.《山东省人大常委会办公厅关于印送〈山东省人大监察和司法委员会关于全省“笑气”滥用治理工作情况的调研报告〉的函》（鲁人办发〔2024〕29号）：司法行政部门会同教育部门将成瘾性物质滥用危害作为当前法治教育重点，针对学生群体开展专项宣传教育活动；3.《山东省家庭教育促进条例》规定，对吸食尚未列入国家规定管制、具有成瘾性物质的未成年人，公安机关、司法行政等部门应当劝告其接受必要的危害教育和心理矫治；4.《山东省预防未成年人犯罪条例》第二十五条 教育、公安、司法行政、卫生健康等部门以及学校、未成年人的父母或者其他监护人应当对未成年人进行毒品和尚未列入国家规定管制、具有成瘾性物质的危害教育；5.省司法厅联合省委宣传部等9部门，联合制定下发《〈“守护青春 远离毒品”全省禁毒戒毒校园宣传教育活动方案〉的通知》（鲁司〔2024〕39号）；6.省司法厅联合省委社会工作部等9部门，联合制定下发《关于印制〈山东省吸食毒品及滥用未列管成瘾性物质戒治康复工作协作机制〉的通知》（鲁司〔2025〕46号）；7.《中华人民共和国法治宣传教育法》《山东省法治宣传教育条例》，落实“谁执法谁普法”责任制；8.《中华人民共和国禁毒法》、国务院发布的《健康中国行动（2019—2030年）》；9.国家禁毒办、教育部等17部门《关于印发防范青少年滥用涉麻精药品等成瘾性物质宣传教育活动方案的通知》（禁毒办通〔2024〕5号）；10.《教育部办公厅关于公布2025年—2028年学年面向中小学生的全国竞赛活动的通知》（教监管厅函〔2025〕7号）；11.《山东省禁毒条例》、省禁毒委员会办公室颁布的常态化活动方案《2024年全省全民禁毒宣传月实施方案》；12.省禁毒委员会办公室颁布的阵地建设指导文件《关于推进新时代全省禁毒预防教育阵地建设的指导意见》；13.全省第三轮禁毒人民战争工作要求。</w:t>
            </w:r>
          </w:p>
        </w:tc>
        <w:tc>
          <w:tcPr>
            <w:tcW w:w="1064"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25EDC4A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区公安分局 区司法局</w:t>
            </w:r>
          </w:p>
        </w:tc>
        <w:tc>
          <w:tcPr>
            <w:tcW w:w="862"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3AD678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全年</w:t>
            </w:r>
          </w:p>
        </w:tc>
        <w:tc>
          <w:tcPr>
            <w:tcW w:w="274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3C90E27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参观禁毒展馆、开展主题班会、禁毒知识答题、禁毒作品征集、观看禁毒影视作品、实地宣传教育。</w:t>
            </w:r>
          </w:p>
        </w:tc>
        <w:tc>
          <w:tcPr>
            <w:tcW w:w="78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07437C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b/>
                <w:bCs/>
                <w:i w:val="0"/>
                <w:iCs w:val="0"/>
                <w:color w:val="auto"/>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提供</w:t>
            </w:r>
          </w:p>
          <w:p w14:paraId="099A33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资源</w:t>
            </w:r>
          </w:p>
        </w:tc>
      </w:tr>
      <w:tr w14:paraId="3B916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0" w:hRule="atLeast"/>
          <w:jc w:val="center"/>
        </w:trPr>
        <w:tc>
          <w:tcPr>
            <w:tcW w:w="45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57ECFF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5</w:t>
            </w:r>
          </w:p>
        </w:tc>
        <w:tc>
          <w:tcPr>
            <w:tcW w:w="80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3CB506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国防知识普及</w:t>
            </w:r>
          </w:p>
        </w:tc>
        <w:tc>
          <w:tcPr>
            <w:tcW w:w="2646"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7CED7C8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w:t>
            </w:r>
            <w:r>
              <w:rPr>
                <w:rFonts w:hint="eastAsia" w:ascii="宋体" w:hAnsi="宋体" w:eastAsia="宋体" w:cs="宋体"/>
                <w:i w:val="0"/>
                <w:iCs w:val="0"/>
                <w:color w:val="000000"/>
                <w:kern w:val="0"/>
                <w:sz w:val="18"/>
                <w:szCs w:val="18"/>
                <w:highlight w:val="none"/>
                <w:u w:val="none"/>
                <w:lang w:val="en-US" w:eastAsia="zh-CN" w:bidi="ar"/>
              </w:rPr>
              <w:t>开展测绘法宣传日暨国家版图意识宣传周活动</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2.</w:t>
            </w:r>
            <w:r>
              <w:rPr>
                <w:rFonts w:hint="eastAsia" w:ascii="宋体" w:hAnsi="宋体" w:eastAsia="宋体" w:cs="宋体"/>
                <w:i w:val="0"/>
                <w:iCs w:val="0"/>
                <w:color w:val="000000"/>
                <w:kern w:val="0"/>
                <w:sz w:val="18"/>
                <w:szCs w:val="18"/>
                <w:highlight w:val="none"/>
                <w:u w:val="none"/>
                <w:lang w:val="en-US" w:eastAsia="zh-CN" w:bidi="ar"/>
              </w:rPr>
              <w:t>开展国家版图意识进校园活动，普及国家版图知识，增强国家版图意识，加强爱国主义教育</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3.</w:t>
            </w:r>
            <w:r>
              <w:rPr>
                <w:rFonts w:hint="eastAsia" w:ascii="宋体" w:hAnsi="宋体" w:eastAsia="宋体" w:cs="宋体"/>
                <w:i w:val="0"/>
                <w:iCs w:val="0"/>
                <w:color w:val="000000"/>
                <w:kern w:val="0"/>
                <w:sz w:val="18"/>
                <w:szCs w:val="18"/>
                <w:highlight w:val="none"/>
                <w:u w:val="none"/>
                <w:lang w:val="en-US" w:eastAsia="zh-CN" w:bidi="ar"/>
              </w:rPr>
              <w:t>开展国家</w:t>
            </w:r>
            <w:r>
              <w:rPr>
                <w:rFonts w:hint="eastAsia" w:ascii="宋体" w:hAnsi="宋体" w:cs="宋体"/>
                <w:i w:val="0"/>
                <w:iCs w:val="0"/>
                <w:color w:val="000000"/>
                <w:kern w:val="0"/>
                <w:sz w:val="18"/>
                <w:szCs w:val="18"/>
                <w:highlight w:val="none"/>
                <w:u w:val="none"/>
                <w:lang w:val="en-US" w:eastAsia="zh-CN" w:bidi="ar"/>
              </w:rPr>
              <w:t>版图</w:t>
            </w:r>
            <w:r>
              <w:rPr>
                <w:rFonts w:hint="eastAsia" w:ascii="宋体" w:hAnsi="宋体" w:eastAsia="宋体" w:cs="宋体"/>
                <w:i w:val="0"/>
                <w:iCs w:val="0"/>
                <w:color w:val="000000"/>
                <w:kern w:val="0"/>
                <w:sz w:val="18"/>
                <w:szCs w:val="18"/>
                <w:highlight w:val="none"/>
                <w:u w:val="none"/>
                <w:lang w:val="en-US" w:eastAsia="zh-CN" w:bidi="ar"/>
              </w:rPr>
              <w:t>知识竞赛和少儿手绘地图大赛</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4.</w:t>
            </w:r>
            <w:r>
              <w:rPr>
                <w:rFonts w:hint="eastAsia" w:ascii="宋体" w:hAnsi="宋体" w:eastAsia="宋体" w:cs="宋体"/>
                <w:i w:val="0"/>
                <w:iCs w:val="0"/>
                <w:color w:val="000000"/>
                <w:kern w:val="0"/>
                <w:sz w:val="18"/>
                <w:szCs w:val="18"/>
                <w:highlight w:val="none"/>
                <w:u w:val="none"/>
                <w:lang w:val="en-US" w:eastAsia="zh-CN" w:bidi="ar"/>
              </w:rPr>
              <w:t>设主题演讲比赛、国防科技创意设计赛、国防技能挑战赛、智能无人系统应用赛、兵棋推演对抗赛等。</w:t>
            </w:r>
          </w:p>
        </w:tc>
        <w:tc>
          <w:tcPr>
            <w:tcW w:w="4943"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1AF3291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中华人民共和国测绘法》第七条“教育行政部门、学校应当将国家版图意识教育纳入中小学教学内容，加强爱国主义教育”；2.《教育部办公厅关于公布2025年—2028年学年面向中小学生的全国竞赛活动的通知》（教监管厅函〔2025〕7号）。</w:t>
            </w:r>
            <w:r>
              <w:rPr>
                <w:rFonts w:hint="eastAsia" w:ascii="宋体" w:hAnsi="宋体" w:eastAsia="宋体" w:cs="宋体"/>
                <w:i w:val="0"/>
                <w:iCs w:val="0"/>
                <w:color w:val="000000"/>
                <w:kern w:val="0"/>
                <w:sz w:val="18"/>
                <w:szCs w:val="18"/>
                <w:highlight w:val="none"/>
                <w:u w:val="none"/>
                <w:lang w:val="en-US" w:eastAsia="zh-CN" w:bidi="ar"/>
              </w:rPr>
              <w:br w:type="textWrapping"/>
            </w:r>
          </w:p>
        </w:tc>
        <w:tc>
          <w:tcPr>
            <w:tcW w:w="1064"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25459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区</w:t>
            </w:r>
            <w:r>
              <w:rPr>
                <w:rFonts w:hint="eastAsia" w:ascii="宋体" w:hAnsi="宋体" w:eastAsia="宋体" w:cs="宋体"/>
                <w:i w:val="0"/>
                <w:iCs w:val="0"/>
                <w:color w:val="000000"/>
                <w:kern w:val="0"/>
                <w:sz w:val="18"/>
                <w:szCs w:val="18"/>
                <w:highlight w:val="none"/>
                <w:u w:val="none"/>
                <w:lang w:val="en-US" w:eastAsia="zh-CN" w:bidi="ar"/>
              </w:rPr>
              <w:t>委宣传部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区</w:t>
            </w:r>
            <w:r>
              <w:rPr>
                <w:rFonts w:hint="eastAsia" w:ascii="宋体" w:hAnsi="宋体" w:eastAsia="宋体" w:cs="宋体"/>
                <w:i w:val="0"/>
                <w:iCs w:val="0"/>
                <w:color w:val="000000"/>
                <w:kern w:val="0"/>
                <w:sz w:val="18"/>
                <w:szCs w:val="18"/>
                <w:highlight w:val="none"/>
                <w:u w:val="none"/>
                <w:lang w:val="en-US" w:eastAsia="zh-CN" w:bidi="ar"/>
              </w:rPr>
              <w:t>自然资源</w:t>
            </w:r>
            <w:r>
              <w:rPr>
                <w:rFonts w:hint="eastAsia" w:ascii="宋体" w:hAnsi="宋体" w:cs="宋体"/>
                <w:i w:val="0"/>
                <w:iCs w:val="0"/>
                <w:color w:val="000000"/>
                <w:kern w:val="0"/>
                <w:sz w:val="18"/>
                <w:szCs w:val="18"/>
                <w:highlight w:val="none"/>
                <w:u w:val="none"/>
                <w:lang w:val="en-US" w:eastAsia="zh-CN" w:bidi="ar"/>
              </w:rPr>
              <w:t>和规划局</w:t>
            </w:r>
          </w:p>
        </w:tc>
        <w:tc>
          <w:tcPr>
            <w:tcW w:w="862"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14A96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w:t>
            </w:r>
          </w:p>
        </w:tc>
        <w:tc>
          <w:tcPr>
            <w:tcW w:w="274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1D81D1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以线上线下相结合的形式，开展国家版图知识进校园和国家版图知识竞赛和少儿手绘地图大赛等活动；包括科普讲解、主题演讲、互动体验、素养展示、场馆参观、地图制作体验等。</w:t>
            </w:r>
          </w:p>
        </w:tc>
        <w:tc>
          <w:tcPr>
            <w:tcW w:w="78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3DCF6E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提供</w:t>
            </w:r>
          </w:p>
          <w:p w14:paraId="2F7359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资源</w:t>
            </w:r>
          </w:p>
        </w:tc>
      </w:tr>
      <w:tr w14:paraId="5C516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1" w:hRule="atLeast"/>
          <w:jc w:val="center"/>
        </w:trPr>
        <w:tc>
          <w:tcPr>
            <w:tcW w:w="45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EE422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6</w:t>
            </w:r>
          </w:p>
        </w:tc>
        <w:tc>
          <w:tcPr>
            <w:tcW w:w="80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2200B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健康知识普及</w:t>
            </w:r>
          </w:p>
        </w:tc>
        <w:tc>
          <w:tcPr>
            <w:tcW w:w="2646"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108460F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结合学生的主要健康问题，组织开展各种形式的健康宣教活动。将健康体重管理纳入学校健康教育内容；帮助超重肥胖学生做到“一减两增，一调两测”；开展相关监测等。传染病疫情处置。传染病和地方病、学生常见病、预防接种等健康知识科普宣教。学生常见病和环境健康影响因素监测与干预</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开展急救知识和技能普及</w:t>
            </w:r>
            <w:r>
              <w:rPr>
                <w:rFonts w:hint="eastAsia" w:ascii="宋体" w:hAnsi="宋体" w:cs="宋体"/>
                <w:i w:val="0"/>
                <w:iCs w:val="0"/>
                <w:color w:val="auto"/>
                <w:kern w:val="0"/>
                <w:sz w:val="18"/>
                <w:szCs w:val="18"/>
                <w:highlight w:val="none"/>
                <w:u w:val="none"/>
                <w:lang w:val="en-US" w:eastAsia="zh-CN" w:bidi="ar"/>
              </w:rPr>
              <w:t>。</w:t>
            </w:r>
          </w:p>
        </w:tc>
        <w:tc>
          <w:tcPr>
            <w:tcW w:w="4943"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00973AB7">
            <w:pPr>
              <w:keepNext w:val="0"/>
              <w:keepLines w:val="0"/>
              <w:pageBreakBefore w:val="0"/>
              <w:widowControl/>
              <w:numPr>
                <w:ilvl w:val="0"/>
                <w:numId w:val="1"/>
              </w:numPr>
              <w:suppressLineNumbers w:val="0"/>
              <w:kinsoku/>
              <w:wordWrap/>
              <w:overflowPunct/>
              <w:topLinePunct w:val="0"/>
              <w:autoSpaceDE/>
              <w:autoSpaceDN/>
              <w:bidi w:val="0"/>
              <w:adjustRightInd/>
              <w:snapToGrid/>
              <w:spacing w:line="22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国家卫生健康委、教育部等《关于印发“体重管理年”活动实施方案的通知》（国卫医急发〔2024〕21号）</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省卫生健康委、省教育厅等《关于印发山东省“体重管理年”活动实施方案（2024—2026）的通知》（鲁卫医急字〔2024〕10号）</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省爱卫办《健康山东行动-健康体重管理行动实施方案（2025—2030 年）》（鲁爱卫发〔2025〕1号）；2.《健康山东行动实施方案（2024—2027 年）》</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《关于将“健康素养66条”纳入学校健康教育的通知》；3.《学校卫生工作条例》</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《国务院办公厅关于推进疾病预防控制事业高质量发展的指导意见》（国办发〔2023〕46号）</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国家卫生健康委等13部门制定的《儿童青少年“五健”促进行动计划》（2026—2030年）</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国家疾控局综合司《全国学生常见病和健康影响因素监测和干预工作方案（2026年版）》</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《中华人民共和国传染病防治法》第十八条</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《中华人民共和国疫苗管理法》第四十八条、第九十二条</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省疾控局、省教育厅等7部门《关于印发山东省人乳头瘤病毒疫苗纳入免疫规划工作实施方案的通知》（鲁疾控卫免字〔2025〕6号）</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中国遏制与防治艾滋病规划（2024—2030年）》（国办发〔2024〕51号）、《全国结核病防治规划（2024—2030年）》（国疾控传防发〔2024〕19号）、《山东省遏制与防治艾滋病规划（2025—2030年）》（鲁疾控发〔2025〕2号）、《山东省结核病防治规划（2025—2030年）》（鲁疾控发〔2025〕3号）</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《健康中国行动（2019—2030年）》。</w:t>
            </w:r>
          </w:p>
        </w:tc>
        <w:tc>
          <w:tcPr>
            <w:tcW w:w="1064"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00222A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区</w:t>
            </w:r>
            <w:r>
              <w:rPr>
                <w:rFonts w:hint="eastAsia" w:ascii="宋体" w:hAnsi="宋体" w:eastAsia="宋体" w:cs="宋体"/>
                <w:i w:val="0"/>
                <w:iCs w:val="0"/>
                <w:color w:val="000000"/>
                <w:kern w:val="0"/>
                <w:sz w:val="18"/>
                <w:szCs w:val="18"/>
                <w:highlight w:val="none"/>
                <w:u w:val="none"/>
                <w:lang w:val="en-US" w:eastAsia="zh-CN" w:bidi="ar"/>
              </w:rPr>
              <w:t>卫生健康</w:t>
            </w:r>
            <w:r>
              <w:rPr>
                <w:rFonts w:hint="eastAsia" w:ascii="宋体" w:hAnsi="宋体" w:cs="宋体"/>
                <w:i w:val="0"/>
                <w:iCs w:val="0"/>
                <w:color w:val="000000"/>
                <w:kern w:val="0"/>
                <w:sz w:val="18"/>
                <w:szCs w:val="18"/>
                <w:highlight w:val="none"/>
                <w:u w:val="none"/>
                <w:lang w:val="en-US" w:eastAsia="zh-CN" w:bidi="ar"/>
              </w:rPr>
              <w:t>局</w:t>
            </w:r>
          </w:p>
        </w:tc>
        <w:tc>
          <w:tcPr>
            <w:tcW w:w="862"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2481C5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w:t>
            </w:r>
          </w:p>
        </w:tc>
        <w:tc>
          <w:tcPr>
            <w:tcW w:w="2747"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68FFA5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健康宣讲，举办健康体重管理、健康生活方式干预等活动，开展健康监测等；开展健康教育课、专题讲座、发放公开信、现场宣传活动、视力检测等</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对学校教师、学生进行急救知识教育和技能培训</w:t>
            </w:r>
            <w:r>
              <w:rPr>
                <w:rFonts w:hint="eastAsia" w:ascii="宋体" w:hAnsi="宋体" w:cs="宋体"/>
                <w:i w:val="0"/>
                <w:iCs w:val="0"/>
                <w:color w:val="auto"/>
                <w:kern w:val="0"/>
                <w:sz w:val="18"/>
                <w:szCs w:val="18"/>
                <w:highlight w:val="none"/>
                <w:u w:val="none"/>
                <w:lang w:val="en-US" w:eastAsia="zh-CN" w:bidi="ar"/>
              </w:rPr>
              <w:t>。</w:t>
            </w:r>
          </w:p>
        </w:tc>
        <w:tc>
          <w:tcPr>
            <w:tcW w:w="788" w:type="dxa"/>
            <w:tcBorders>
              <w:top w:val="single" w:color="000000" w:sz="4" w:space="0"/>
              <w:left w:val="single" w:color="000000" w:sz="4" w:space="0"/>
              <w:bottom w:val="single" w:color="000000" w:sz="4" w:space="0"/>
              <w:right w:val="single" w:color="000000" w:sz="4" w:space="0"/>
            </w:tcBorders>
            <w:noWrap w:val="0"/>
            <w:tcMar>
              <w:top w:w="0" w:type="dxa"/>
              <w:left w:w="11" w:type="dxa"/>
              <w:bottom w:w="0" w:type="dxa"/>
              <w:right w:w="11" w:type="dxa"/>
            </w:tcMar>
            <w:vAlign w:val="center"/>
          </w:tcPr>
          <w:p w14:paraId="7B0052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提供</w:t>
            </w:r>
          </w:p>
          <w:p w14:paraId="3772D7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资源</w:t>
            </w:r>
          </w:p>
        </w:tc>
      </w:tr>
      <w:tr w14:paraId="10FA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60F97F42">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cs="宋体"/>
                <w:i w:val="0"/>
                <w:color w:val="000000"/>
                <w:kern w:val="0"/>
                <w:sz w:val="23"/>
                <w:szCs w:val="23"/>
                <w:u w:val="none"/>
                <w:lang w:val="en-US" w:eastAsia="zh-CN" w:bidi="ar"/>
              </w:rPr>
              <w:t>7</w:t>
            </w:r>
          </w:p>
        </w:tc>
        <w:tc>
          <w:tcPr>
            <w:tcW w:w="80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5C4CE755">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u w:val="none"/>
                <w:lang w:val="en-US" w:eastAsia="zh-CN" w:bidi="ar"/>
              </w:rPr>
              <w:t>人口老龄化国情教育</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0A07E4FF">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both"/>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u w:val="none"/>
                <w:lang w:val="en-US" w:eastAsia="zh-CN" w:bidi="ar"/>
              </w:rPr>
              <w:t>把弘扬孝亲敬老文化纳入社会主义核心价值观宣传教育，以道法课、思政课、主题班会等为载体，开展符合学生实际的孝亲敬老文化教育、主题实践活动，使青少年学生了解我国人口老龄化趋势，树立正确的价值观、增强责任感，营造敬老爱老孝老浓厚氛围。</w:t>
            </w:r>
          </w:p>
        </w:tc>
        <w:tc>
          <w:tcPr>
            <w:tcW w:w="4943"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7F58A850">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both"/>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u w:val="none"/>
                <w:lang w:val="en-US" w:eastAsia="zh-CN" w:bidi="ar"/>
              </w:rPr>
              <w:t>1.《中华人民共和国老年人权益保障法》要求：青少年组织、学校和幼儿园应当对青少年和儿童进行敬老、养老、助老的道德教育和维护老年人合法权益的法治教育；2.中共中央、国务院关于印发《国家积极应对人口老龄化中长期规划》的通知；3.全国老龄办、教育部等国家22个部委联合印发的《关于深入开展人口老龄化国情教育的指导意见》要求：加强青少年人口老龄化国情教育。将人口老龄化国情教育纳入学校思想政治教育工作，与学生思想道德建设、知识传授紧密结合。</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1D982A80">
            <w:pPr>
              <w:keepNext w:val="0"/>
              <w:keepLines w:val="0"/>
              <w:pageBreakBefore w:val="0"/>
              <w:widowControl/>
              <w:suppressLineNumbers w:val="0"/>
              <w:kinsoku/>
              <w:wordWrap/>
              <w:overflowPunct/>
              <w:topLinePunct w:val="0"/>
              <w:autoSpaceDE w:val="0"/>
              <w:autoSpaceDN w:val="0"/>
              <w:bidi w:val="0"/>
              <w:adjustRightInd w:val="0"/>
              <w:snapToGrid w:val="0"/>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u w:val="none"/>
                <w:lang w:val="en-US" w:eastAsia="zh-CN" w:bidi="ar"/>
              </w:rPr>
              <w:t>区民政局</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（区老龄办）</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4834319E">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u w:val="none"/>
                <w:lang w:val="en-US" w:eastAsia="zh-CN" w:bidi="ar"/>
              </w:rPr>
              <w:t>随相关课程安排，重点是10月份（重阳节所在月份）</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6AB954A3">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both"/>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u w:val="none"/>
                <w:lang w:val="en-US" w:eastAsia="zh-CN" w:bidi="ar"/>
              </w:rPr>
              <w:t>提供视频短剧、刻瓷、书画、剪纸等非遗文化作品，学校自主组织观摩。</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1" w:type="dxa"/>
              <w:bottom w:w="0" w:type="dxa"/>
              <w:right w:w="11" w:type="dxa"/>
            </w:tcMar>
            <w:vAlign w:val="center"/>
          </w:tcPr>
          <w:p w14:paraId="784F12C7">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提供</w:t>
            </w:r>
          </w:p>
          <w:p w14:paraId="5F8F3B6B">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u w:val="none"/>
                <w:lang w:val="en-US" w:eastAsia="zh-CN" w:bidi="ar"/>
              </w:rPr>
              <w:t>资源</w:t>
            </w:r>
          </w:p>
        </w:tc>
      </w:tr>
    </w:tbl>
    <w:p w14:paraId="2659F5F6">
      <w:pPr>
        <w:pStyle w:val="14"/>
        <w:keepNext w:val="0"/>
        <w:keepLines w:val="0"/>
        <w:pageBreakBefore w:val="0"/>
        <w:shd w:val="clear"/>
        <w:tabs>
          <w:tab w:val="left" w:pos="2236"/>
        </w:tabs>
        <w:kinsoku/>
        <w:wordWrap/>
        <w:topLinePunct w:val="0"/>
        <w:bidi w:val="0"/>
        <w:snapToGrid/>
        <w:spacing w:before="0" w:after="0" w:line="600" w:lineRule="exact"/>
        <w:ind w:left="0" w:leftChars="0" w:firstLine="246" w:firstLineChars="77"/>
        <w:jc w:val="both"/>
        <w:textAlignment w:val="auto"/>
        <w:rPr>
          <w:rFonts w:hint="default" w:ascii="Times New Roman" w:hAnsi="Times New Roman" w:eastAsia="仿宋_GB2312" w:cs="Times New Roman"/>
          <w:i w:val="0"/>
          <w:caps w:val="0"/>
          <w:snapToGrid/>
          <w:color w:val="auto"/>
          <w:spacing w:val="0"/>
          <w:kern w:val="2"/>
          <w:sz w:val="32"/>
          <w:szCs w:val="32"/>
          <w:lang w:val="en-US" w:eastAsia="zh-CN" w:bidi="ar-SA"/>
        </w:rPr>
      </w:pPr>
    </w:p>
    <w:sectPr>
      <w:headerReference r:id="rId5" w:type="default"/>
      <w:footerReference r:id="rId6" w:type="default"/>
      <w:pgSz w:w="16838" w:h="11905" w:orient="landscape"/>
      <w:pgMar w:top="1531" w:right="1531" w:bottom="1531" w:left="1531" w:header="850" w:footer="1191" w:gutter="0"/>
      <w:pgNumType w:fmt="decimal"/>
      <w:cols w:space="0" w:num="1"/>
      <w:rtlGutter w:val="0"/>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8B75">
    <w:pPr>
      <w:pStyle w:val="5"/>
      <w:rPr>
        <w:rFonts w:hint="default"/>
      </w:rP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-76200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7E32B">
                          <w:pPr>
                            <w:pStyle w:val="5"/>
                            <w:rPr>
                              <w:rFonts w:hint="default"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9</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6pt;height:144pt;width:144pt;mso-position-horizontal:center;mso-position-horizontal-relative:margin;mso-wrap-style:none;z-index:251659264;mso-width-relative:page;mso-height-relative:page;" filled="f" stroked="f" coordsize="21600,21600" o:gfxdata="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bOF0U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71B7E32B">
                    <w:pPr>
                      <w:pStyle w:val="5"/>
                      <w:rPr>
                        <w:rFonts w:hint="default"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9</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43679">
    <w:pPr>
      <w:spacing w:line="14" w:lineRule="auto"/>
      <w:rPr>
        <w:rFonts w:hint="default"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D7569D"/>
    <w:multiLevelType w:val="singleLevel"/>
    <w:tmpl w:val="60D7569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rawingGridHorizontalSpacing w:val="210"/>
  <w:drawingGridVerticalSpacing w:val="9999999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08F3F43"/>
    <w:rsid w:val="013D7FD4"/>
    <w:rsid w:val="044732B9"/>
    <w:rsid w:val="05B64994"/>
    <w:rsid w:val="096B432F"/>
    <w:rsid w:val="09D25D29"/>
    <w:rsid w:val="0A273B8B"/>
    <w:rsid w:val="0A975471"/>
    <w:rsid w:val="0AB7794C"/>
    <w:rsid w:val="0C5D0E40"/>
    <w:rsid w:val="0E5B754A"/>
    <w:rsid w:val="104458A4"/>
    <w:rsid w:val="11205AE5"/>
    <w:rsid w:val="11D45003"/>
    <w:rsid w:val="15206E12"/>
    <w:rsid w:val="15F972E8"/>
    <w:rsid w:val="18B721FB"/>
    <w:rsid w:val="18CB174F"/>
    <w:rsid w:val="1A1E38A7"/>
    <w:rsid w:val="1B751833"/>
    <w:rsid w:val="1DF15FB3"/>
    <w:rsid w:val="1EA2423F"/>
    <w:rsid w:val="218557A5"/>
    <w:rsid w:val="25956CA7"/>
    <w:rsid w:val="28B328F1"/>
    <w:rsid w:val="2B031161"/>
    <w:rsid w:val="2B1079B4"/>
    <w:rsid w:val="2EC06688"/>
    <w:rsid w:val="2F010665"/>
    <w:rsid w:val="2F3E3826"/>
    <w:rsid w:val="30A70D88"/>
    <w:rsid w:val="35026DE0"/>
    <w:rsid w:val="35A42F2C"/>
    <w:rsid w:val="36D36CD1"/>
    <w:rsid w:val="36FA3998"/>
    <w:rsid w:val="37711DCF"/>
    <w:rsid w:val="38D27174"/>
    <w:rsid w:val="3BFB4C32"/>
    <w:rsid w:val="3CC2576E"/>
    <w:rsid w:val="3EFE18C5"/>
    <w:rsid w:val="40B0683B"/>
    <w:rsid w:val="422844A5"/>
    <w:rsid w:val="44EE1489"/>
    <w:rsid w:val="46F239D5"/>
    <w:rsid w:val="471C7678"/>
    <w:rsid w:val="4A5E74D8"/>
    <w:rsid w:val="4C012DCB"/>
    <w:rsid w:val="4F3225BC"/>
    <w:rsid w:val="4FAE7001"/>
    <w:rsid w:val="505464BF"/>
    <w:rsid w:val="50D76F95"/>
    <w:rsid w:val="524D28BD"/>
    <w:rsid w:val="552E507D"/>
    <w:rsid w:val="576265A1"/>
    <w:rsid w:val="5D7D51D3"/>
    <w:rsid w:val="5F9E182E"/>
    <w:rsid w:val="5FBB147E"/>
    <w:rsid w:val="62A5668A"/>
    <w:rsid w:val="6453485D"/>
    <w:rsid w:val="64AB1928"/>
    <w:rsid w:val="67880018"/>
    <w:rsid w:val="67A71C09"/>
    <w:rsid w:val="6D3A6247"/>
    <w:rsid w:val="6D8B0126"/>
    <w:rsid w:val="6E4D7334"/>
    <w:rsid w:val="6F107DCE"/>
    <w:rsid w:val="71E74DFC"/>
    <w:rsid w:val="73D103EC"/>
    <w:rsid w:val="74ED22A9"/>
    <w:rsid w:val="753F7262"/>
    <w:rsid w:val="76FE1D11"/>
    <w:rsid w:val="7B477628"/>
    <w:rsid w:val="7B6112D1"/>
    <w:rsid w:val="7B945F99"/>
    <w:rsid w:val="7C3734DE"/>
    <w:rsid w:val="7FC475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Body Text Indent"/>
    <w:basedOn w:val="1"/>
    <w:qFormat/>
    <w:uiPriority w:val="99"/>
    <w:pPr>
      <w:ind w:left="420" w:leftChars="200"/>
    </w:pPr>
  </w:style>
  <w:style w:type="paragraph" w:styleId="4">
    <w:name w:val="Plain Text"/>
    <w:basedOn w:val="1"/>
    <w:qFormat/>
    <w:uiPriority w:val="99"/>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99"/>
    <w:pPr>
      <w:spacing w:after="120"/>
      <w:ind w:firstLine="420" w:firstLineChars="200"/>
    </w:pPr>
    <w:rPr>
      <w:rFonts w:ascii="Times New Roman" w:hAnsi="Times New Roman"/>
      <w:sz w:val="32"/>
      <w:szCs w:val="32"/>
    </w:rPr>
  </w:style>
  <w:style w:type="character" w:styleId="10">
    <w:name w:val="page number"/>
    <w:basedOn w:val="9"/>
    <w:qFormat/>
    <w:uiPriority w:val="0"/>
  </w:style>
  <w:style w:type="paragraph" w:customStyle="1" w:styleId="11">
    <w:name w:val="Default"/>
    <w:qFormat/>
    <w:uiPriority w:val="99"/>
    <w:pPr>
      <w:widowControl w:val="0"/>
      <w:autoSpaceDE w:val="0"/>
      <w:autoSpaceDN w:val="0"/>
      <w:adjustRightInd w:val="0"/>
    </w:pPr>
    <w:rPr>
      <w:rFonts w:ascii="黑体" w:hAnsi="Calibri" w:eastAsia="黑体" w:cs="黑体"/>
      <w:color w:val="000000"/>
      <w:sz w:val="32"/>
      <w:szCs w:val="24"/>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paragraph" w:customStyle="1" w:styleId="14">
    <w:name w:val="正文文本 (2)"/>
    <w:basedOn w:val="1"/>
    <w:qFormat/>
    <w:uiPriority w:val="99"/>
    <w:pPr>
      <w:shd w:val="clear" w:color="auto" w:fill="FFFFFF"/>
      <w:spacing w:before="780" w:after="1140" w:line="240" w:lineRule="atLeast"/>
      <w:jc w:val="right"/>
    </w:pPr>
    <w:rPr>
      <w:rFonts w:ascii="MingLiU" w:hAnsi="MingLiU" w:eastAsia="MingLiU"/>
      <w:sz w:val="3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5221</Words>
  <Characters>5502</Characters>
  <TotalTime>20</TotalTime>
  <ScaleCrop>false</ScaleCrop>
  <LinksUpToDate>false</LinksUpToDate>
  <CharactersWithSpaces>5577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2025-04-07T09:18:00Z</dcterms:created>
  <dc:creator>Administrator</dc:creator>
  <cp:lastModifiedBy>梧桐</cp:lastModifiedBy>
  <cp:lastPrinted>2026-08-26T03:43:00Z</cp:lastPrinted>
  <dcterms:modified xsi:type="dcterms:W3CDTF">2026-08-26T07:27:30Z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2025-04-07T09:18:02Z</vt:filetime>
  </property>
  <property fmtid="{D5CDD505-2E9C-101B-9397-08002B2CF9AE}" pid="4" name="UsrData">
    <vt:lpwstr>67f327c6428e8c0020f09102wl</vt:lpwstr>
  </property>
  <property fmtid="{D5CDD505-2E9C-101B-9397-08002B2CF9AE}" pid="5" name="KSOProductBuildVer">
    <vt:lpwstr>2052-12.1.0.28043</vt:lpwstr>
  </property>
  <property fmtid="{D5CDD505-2E9C-101B-9397-08002B2CF9AE}" pid="6" name="KSOTemplateDocerSaveRecord">
    <vt:lpwstr>eyJoZGlkIjoiNjhhYjc2Y2QwYzk2NzFjYWMzZDA0OTZmMGE3YTM4MDQiLCJ1c2VySWQiOiIyOTEyMTI5NzgifQ==</vt:lpwstr>
  </property>
  <property fmtid="{D5CDD505-2E9C-101B-9397-08002B2CF9AE}" pid="7" name="ICV">
    <vt:lpwstr>BDA3143A75AA40EF806E7B5B31969E89_12</vt:lpwstr>
  </property>
</Properties>
</file>