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default" w:ascii="Times New Roman" w:hAnsi="Times New Roman" w:cs="Times New Roman"/>
          <w:spacing w:val="34"/>
          <w:sz w:val="32"/>
          <w:szCs w:val="32"/>
          <w:lang w:eastAsia="zh-CN"/>
        </w:rPr>
      </w:pPr>
      <w:r>
        <w:rPr>
          <w:rFonts w:hint="default" w:ascii="Times New Roman" w:hAnsi="Times New Roman" w:eastAsia="方正小标宋简体" w:cs="Times New Roman"/>
          <w:color w:val="FF0000"/>
          <w:spacing w:val="34"/>
          <w:w w:val="34"/>
          <w:sz w:val="144"/>
          <w:szCs w:val="144"/>
        </w:rPr>
        <w:t>淄博市周村区</w:t>
      </w:r>
      <w:r>
        <w:rPr>
          <w:rFonts w:hint="eastAsia" w:ascii="Times New Roman" w:hAnsi="Times New Roman" w:eastAsia="方正小标宋简体" w:cs="Times New Roman"/>
          <w:color w:val="FF0000"/>
          <w:spacing w:val="34"/>
          <w:w w:val="34"/>
          <w:sz w:val="144"/>
          <w:szCs w:val="144"/>
          <w:lang w:eastAsia="zh-CN"/>
        </w:rPr>
        <w:t>市场监督管理</w:t>
      </w:r>
      <w:r>
        <w:rPr>
          <w:rFonts w:hint="default" w:ascii="Times New Roman" w:hAnsi="Times New Roman" w:eastAsia="方正小标宋简体" w:cs="Times New Roman"/>
          <w:color w:val="FF0000"/>
          <w:spacing w:val="34"/>
          <w:w w:val="34"/>
          <w:sz w:val="144"/>
          <w:szCs w:val="144"/>
        </w:rPr>
        <w:t>局文件</w:t>
      </w:r>
    </w:p>
    <w:p>
      <w:pPr>
        <w:jc w:val="center"/>
        <w:rPr>
          <w:rFonts w:hint="default" w:ascii="Times New Roman" w:hAnsi="Times New Roman" w:eastAsia="仿宋_GB2312" w:cs="Times New Roman"/>
          <w:sz w:val="32"/>
          <w:szCs w:val="32"/>
          <w:lang w:eastAsia="zh-CN"/>
        </w:rPr>
      </w:pPr>
      <w:r>
        <w:rPr>
          <w:rFonts w:hint="eastAsia" w:ascii="楷体" w:hAnsi="楷体" w:eastAsia="楷体" w:cs="楷体"/>
          <w:sz w:val="32"/>
          <w:szCs w:val="32"/>
        </w:rPr>
        <w:t>周市监字</w:t>
      </w:r>
      <w:r>
        <w:rPr>
          <w:rFonts w:hint="eastAsia" w:ascii="楷体" w:hAnsi="楷体" w:eastAsia="楷体" w:cs="楷体"/>
          <w:kern w:val="0"/>
          <w:sz w:val="32"/>
          <w:szCs w:val="32"/>
        </w:rPr>
        <w:t>〔</w:t>
      </w:r>
      <w:r>
        <w:rPr>
          <w:rFonts w:hint="eastAsia" w:ascii="Malgun Gothic Semilight" w:hAnsi="Malgun Gothic Semilight" w:eastAsia="Malgun Gothic Semilight" w:cs="Malgun Gothic Semilight"/>
          <w:kern w:val="0"/>
          <w:sz w:val="32"/>
          <w:szCs w:val="32"/>
        </w:rPr>
        <w:t>2019</w:t>
      </w:r>
      <w:r>
        <w:rPr>
          <w:rFonts w:hint="eastAsia" w:ascii="楷体" w:hAnsi="楷体" w:eastAsia="楷体" w:cs="楷体"/>
          <w:kern w:val="0"/>
          <w:sz w:val="32"/>
          <w:szCs w:val="32"/>
        </w:rPr>
        <w:t>〕</w:t>
      </w:r>
      <w:r>
        <w:rPr>
          <w:rFonts w:hint="eastAsia" w:ascii="Malgun Gothic Semilight" w:hAnsi="Malgun Gothic Semilight" w:eastAsia="Malgun Gothic Semilight" w:cs="Malgun Gothic Semilight"/>
          <w:kern w:val="0"/>
          <w:sz w:val="32"/>
          <w:szCs w:val="32"/>
        </w:rPr>
        <w:t>46</w:t>
      </w:r>
      <w:r>
        <w:rPr>
          <w:rFonts w:hint="eastAsia" w:ascii="楷体" w:hAnsi="楷体" w:eastAsia="楷体" w:cs="楷体"/>
          <w:kern w:val="0"/>
          <w:sz w:val="32"/>
          <w:szCs w:val="32"/>
        </w:rPr>
        <w:t>号</w:t>
      </w:r>
    </w:p>
    <w:p>
      <w:pPr>
        <w:jc w:val="center"/>
        <w:rPr>
          <w:rFonts w:hint="default" w:ascii="Times New Roman" w:hAnsi="Times New Roman" w:eastAsia="仿宋_GB2312" w:cs="Times New Roman"/>
          <w:color w:val="000000"/>
          <w:sz w:val="30"/>
          <w:szCs w:val="30"/>
        </w:rPr>
      </w:pPr>
      <w:r>
        <w:rPr>
          <w:rFonts w:hint="default" w:ascii="Times New Roman" w:hAnsi="Times New Roman" w:cs="Times New Roman"/>
          <w:sz w:val="32"/>
        </w:rPr>
        <mc:AlternateContent>
          <mc:Choice Requires="wps">
            <w:drawing>
              <wp:anchor distT="0" distB="0" distL="114300" distR="114300" simplePos="0" relativeHeight="251661312" behindDoc="0" locked="0" layoutInCell="1" allowOverlap="1">
                <wp:simplePos x="0" y="0"/>
                <wp:positionH relativeFrom="column">
                  <wp:posOffset>-144145</wp:posOffset>
                </wp:positionH>
                <wp:positionV relativeFrom="paragraph">
                  <wp:posOffset>138430</wp:posOffset>
                </wp:positionV>
                <wp:extent cx="5543550" cy="9525"/>
                <wp:effectExtent l="0" t="0" r="0" b="0"/>
                <wp:wrapNone/>
                <wp:docPr id="9" name="直线 2"/>
                <wp:cNvGraphicFramePr/>
                <a:graphic xmlns:a="http://schemas.openxmlformats.org/drawingml/2006/main">
                  <a:graphicData uri="http://schemas.microsoft.com/office/word/2010/wordprocessingShape">
                    <wps:wsp>
                      <wps:cNvCnPr/>
                      <wps:spPr>
                        <a:xfrm>
                          <a:off x="0" y="0"/>
                          <a:ext cx="5543550" cy="9525"/>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直线 2" o:spid="_x0000_s1026" o:spt="20" style="position:absolute;left:0pt;margin-left:-11.35pt;margin-top:10.9pt;height:0.75pt;width:436.5pt;z-index:251661312;mso-width-relative:page;mso-height-relative:page;" filled="f" stroked="t" coordsize="21600,21600" o:gfxdata="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p3CJx2AAAAAkBAAAPAAAAAAAAAAEAIAAA&#10;ACIAAABkcnMvZG93bnJldi54bWxQSwECFAAUAAAACACHTuJA4wxaZNMBAACRAwAADgAAAAAAAAAB&#10;ACAAAAAnAQAAZHJzL2Uyb0RvYy54bWxQSwUGAAAAAAYABgBZAQAAbAUAAAAA&#10;">
                <v:fill on="f" focussize="0,0"/>
                <v:stroke weight="2.25pt" color="#FF0000" joinstyle="round"/>
                <v:imagedata o:title=""/>
                <o:lock v:ext="edit" aspectratio="f"/>
              </v:line>
            </w:pict>
          </mc:Fallback>
        </mc:AlternateContent>
      </w:r>
      <w:r>
        <w:rPr>
          <w:rFonts w:hint="default" w:ascii="Times New Roman" w:hAnsi="Times New Roman" w:eastAsia="仿宋_GB2312" w:cs="Times New Roman"/>
          <w:color w:val="000000"/>
          <w:sz w:val="30"/>
          <w:szCs w:val="30"/>
        </w:rPr>
        <w:t xml:space="preserve">             </w:t>
      </w:r>
    </w:p>
    <w:p>
      <w:pPr>
        <w:spacing w:line="640" w:lineRule="exact"/>
        <w:jc w:val="center"/>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关于对周村区第十八届人民代表大会第</w:t>
      </w:r>
    </w:p>
    <w:p>
      <w:pPr>
        <w:spacing w:line="640" w:lineRule="exact"/>
        <w:jc w:val="center"/>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三次会议第35号代</w:t>
      </w:r>
      <w:bookmarkStart w:id="0" w:name="_GoBack"/>
      <w:bookmarkEnd w:id="0"/>
      <w:r>
        <w:rPr>
          <w:rFonts w:hint="eastAsia" w:ascii="方正小标宋简体" w:hAnsi="方正小标宋简体" w:eastAsia="方正小标宋简体" w:cs="方正小标宋简体"/>
          <w:b w:val="0"/>
          <w:bCs/>
          <w:sz w:val="36"/>
          <w:szCs w:val="36"/>
        </w:rPr>
        <w:t>表建议、批评和意见的答复</w:t>
      </w:r>
    </w:p>
    <w:p>
      <w:pPr>
        <w:jc w:val="left"/>
        <w:rPr>
          <w:rFonts w:ascii="Times New Roman" w:hAnsi="Times New Roman" w:eastAsia="仿宋_GB2312"/>
          <w:b w:val="0"/>
          <w:bCs/>
          <w:sz w:val="36"/>
          <w:szCs w:val="36"/>
        </w:rPr>
      </w:pPr>
    </w:p>
    <w:p>
      <w:pPr>
        <w:spacing w:line="560" w:lineRule="exact"/>
        <w:jc w:val="left"/>
        <w:rPr>
          <w:rFonts w:ascii="Times New Roman" w:hAnsi="Times New Roman" w:eastAsia="仿宋_GB2312"/>
          <w:sz w:val="32"/>
          <w:szCs w:val="32"/>
        </w:rPr>
      </w:pPr>
      <w:r>
        <w:rPr>
          <w:rFonts w:ascii="Times New Roman" w:hAnsi="Times New Roman" w:eastAsia="仿宋_GB2312"/>
          <w:sz w:val="32"/>
          <w:szCs w:val="32"/>
        </w:rPr>
        <w:t>崔亦营、张峰、于岭涛、李海英、赵彩霞代表：</w:t>
      </w:r>
    </w:p>
    <w:p>
      <w:pPr>
        <w:spacing w:line="560" w:lineRule="exact"/>
        <w:ind w:firstLine="640" w:firstLineChars="200"/>
        <w:jc w:val="left"/>
        <w:rPr>
          <w:rFonts w:hint="eastAsia" w:ascii="Times New Roman" w:hAnsi="Times New Roman" w:eastAsia="仿宋_GB2312"/>
          <w:sz w:val="32"/>
          <w:szCs w:val="32"/>
          <w:lang w:eastAsia="zh-CN"/>
        </w:rPr>
      </w:pPr>
      <w:r>
        <w:rPr>
          <w:rFonts w:ascii="Times New Roman" w:hAnsi="Times New Roman" w:eastAsia="仿宋_GB2312"/>
          <w:sz w:val="32"/>
          <w:szCs w:val="32"/>
        </w:rPr>
        <w:t>您提的《关于周村专业市场规范发展的建议》收悉</w:t>
      </w:r>
      <w:r>
        <w:rPr>
          <w:rFonts w:hint="eastAsia" w:ascii="Times New Roman" w:hAnsi="Times New Roman" w:eastAsia="仿宋_GB2312"/>
          <w:sz w:val="32"/>
          <w:szCs w:val="32"/>
          <w:lang w:eastAsia="zh-CN"/>
        </w:rPr>
        <w:t>。</w:t>
      </w:r>
    </w:p>
    <w:p>
      <w:pPr>
        <w:spacing w:line="560" w:lineRule="exact"/>
        <w:ind w:firstLine="640" w:firstLineChars="200"/>
        <w:jc w:val="lef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首先感谢您对我区市场监管事业的关注和关心。对您的建议现答复如下：</w:t>
      </w:r>
    </w:p>
    <w:p>
      <w:pPr>
        <w:spacing w:line="560" w:lineRule="exact"/>
        <w:ind w:firstLine="643" w:firstLineChars="200"/>
        <w:jc w:val="left"/>
        <w:rPr>
          <w:rFonts w:ascii="Times New Roman" w:hAnsi="Times New Roman" w:eastAsia="黑体"/>
          <w:sz w:val="32"/>
          <w:szCs w:val="32"/>
        </w:rPr>
      </w:pPr>
      <w:r>
        <w:rPr>
          <w:rFonts w:hint="eastAsia" w:ascii="仿宋_GB2312" w:hAnsi="仿宋_GB2312" w:eastAsia="仿宋_GB2312" w:cs="仿宋_GB2312"/>
          <w:b/>
          <w:bCs/>
          <w:sz w:val="32"/>
          <w:szCs w:val="32"/>
        </w:rPr>
        <w:t>一、明确园区发展定位，促进集约发展</w:t>
      </w:r>
    </w:p>
    <w:p>
      <w:pPr>
        <w:spacing w:line="560" w:lineRule="exact"/>
        <w:ind w:firstLine="640" w:firstLineChars="200"/>
        <w:jc w:val="left"/>
        <w:rPr>
          <w:rFonts w:ascii="Times New Roman" w:hAnsi="Times New Roman" w:eastAsia="仿宋_GB2312"/>
          <w:sz w:val="32"/>
          <w:szCs w:val="32"/>
        </w:rPr>
      </w:pPr>
      <w:r>
        <w:rPr>
          <w:rFonts w:ascii="Times New Roman" w:hAnsi="Times New Roman" w:eastAsia="仿宋_GB2312"/>
          <w:sz w:val="32"/>
          <w:szCs w:val="32"/>
        </w:rPr>
        <w:t>根据《中共周村区委 周村区人民政府关于进一步加快经济园区建设的意见》（周发〔2017〕8号），全区形成“1+3+N”的园区布局，其中，明确旱码头商贸物流产业园发展定位为：以“规模化、品牌化”为方向，大力发展现代物流和电子商务，推进低端市场改造，扩大规模、提升档次，完善规划、强化配套，积极盘活资源，加强运营管理，逐步形成辐射全省乃至全国的商贸物流产业园区。同时设立周村家具产业集中区（北至电厂路，东至淦河，南至青年路，西至新309国道），明确发展定位为：以现有沙发床垫、板式家具、红木家具、床芯及配套材料为基础，加强与国际国内品牌公司合作，引进先进制造技术和信息化手段，改进装备和工艺，提高产品的技术含量和附加值，加强智能、特色、精品家具研发，由现有沙发家居产品向功能家具、整体家居、创意家居升级。园区发展定位的明确，有利于推动专业园区集约发展、做大做强。</w:t>
      </w:r>
    </w:p>
    <w:p>
      <w:pPr>
        <w:spacing w:line="560" w:lineRule="exact"/>
        <w:ind w:firstLine="643" w:firstLineChars="200"/>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二、严格源头把控，提高专业市场项目规模和质量</w:t>
      </w:r>
    </w:p>
    <w:p>
      <w:pPr>
        <w:spacing w:line="560" w:lineRule="exact"/>
        <w:ind w:firstLine="640" w:firstLineChars="200"/>
        <w:jc w:val="left"/>
        <w:rPr>
          <w:rFonts w:ascii="Times New Roman" w:hAnsi="Times New Roman" w:eastAsia="仿宋_GB2312"/>
          <w:sz w:val="32"/>
          <w:szCs w:val="32"/>
        </w:rPr>
      </w:pPr>
      <w:r>
        <w:rPr>
          <w:rFonts w:ascii="Times New Roman" w:hAnsi="Times New Roman" w:eastAsia="仿宋_GB2312"/>
          <w:sz w:val="32"/>
          <w:szCs w:val="32"/>
        </w:rPr>
        <w:t>根据国家产业政策和周发〔2017〕8号文件，加强对专业市场项目审批，园区（集中区）外原则上不再新上项目。旱码头商贸物流产业园的入园要求是新建服务业项目投资不低于5000万元，物流评级3A级以上物流项目投资不低于3000万元；周村家具产业集中区的入园要求是新建工业项目投资不低于5000万元，新特优传统产品投资不低于3000万元；搬迁进入集中区企业销售收入不低于2000万元。今年，总投资30.2亿元的海尔家居产业园项目、总投资5.7亿元的五洲国际创意文化中心及家具供应链物流基地项目、总投资2亿元的龙瑶货运代理有限公司STO申通物流产业园项目、总投资1.6亿元的方达电商园二期项目、总投资1.02亿元的蓝天软体家具文化体验馆等园区重点项目项目列入区重点项目，这些市场前景好、带动能力强的项目建成后将有利于增强区域拉动力，提升专业市场竞争力。</w:t>
      </w:r>
    </w:p>
    <w:p>
      <w:pPr>
        <w:spacing w:line="560" w:lineRule="exact"/>
        <w:ind w:firstLine="643" w:firstLineChars="200"/>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三、加快新旧动能转换，推动家具产业转型升级</w:t>
      </w:r>
    </w:p>
    <w:p>
      <w:pPr>
        <w:spacing w:line="560" w:lineRule="exact"/>
        <w:ind w:firstLine="640" w:firstLineChars="200"/>
        <w:jc w:val="left"/>
        <w:rPr>
          <w:rFonts w:ascii="Times New Roman" w:hAnsi="Times New Roman" w:eastAsia="仿宋_GB2312"/>
          <w:color w:val="000000"/>
          <w:sz w:val="32"/>
          <w:szCs w:val="32"/>
        </w:rPr>
      </w:pPr>
      <w:r>
        <w:rPr>
          <w:rFonts w:ascii="Times New Roman" w:hAnsi="Times New Roman" w:eastAsia="仿宋_GB2312"/>
          <w:sz w:val="32"/>
          <w:szCs w:val="32"/>
        </w:rPr>
        <w:t>深入贯彻落实《周村区新旧动能转换重大工程实施规划》，加快构建形成“322”现代产业体系和优势产业集群。</w:t>
      </w:r>
      <w:r>
        <w:rPr>
          <w:rFonts w:ascii="Times New Roman" w:hAnsi="Times New Roman" w:eastAsia="仿宋_GB2312"/>
          <w:b/>
          <w:bCs/>
          <w:sz w:val="32"/>
          <w:szCs w:val="32"/>
        </w:rPr>
        <w:t>一是优化提升沙发家具传统产业。</w:t>
      </w:r>
      <w:r>
        <w:rPr>
          <w:rFonts w:ascii="Times New Roman" w:hAnsi="Times New Roman" w:eastAsia="仿宋_GB2312"/>
          <w:sz w:val="32"/>
          <w:szCs w:val="32"/>
        </w:rPr>
        <w:t>适应供给侧改革和环保政策要求，对家具产业进行升级转型，实现存量变革。发挥中国软体家具产业基地优势，引导海尔家居、凤阳、恒富金属、福王、蓝天等企业提升设计能力水平，提高产品附加值，向功能家具、整体家居、创意家居、智慧家居升级。依托专业市场，进一步整合物流、人才资源，打造产、供、销一体化发展的全国软体家具之都。</w:t>
      </w:r>
      <w:r>
        <w:rPr>
          <w:rFonts w:ascii="Times New Roman" w:hAnsi="Times New Roman" w:eastAsia="仿宋_GB2312"/>
          <w:b/>
          <w:bCs/>
          <w:sz w:val="32"/>
          <w:szCs w:val="32"/>
        </w:rPr>
        <w:t>二是繁荣发展现代物流产业。</w:t>
      </w:r>
      <w:r>
        <w:rPr>
          <w:rFonts w:ascii="Times New Roman" w:hAnsi="Times New Roman" w:eastAsia="仿宋_GB2312"/>
          <w:sz w:val="32"/>
          <w:szCs w:val="32"/>
        </w:rPr>
        <w:t>依托309国道商贸物流园区，立足周村区区位和交通优势以及现有基础，重点在309国道（周村西外环段）科学规划布局，明确功能定位，建设物流中心，提高产业园区物流承载、运送能力和效率。充分发挥五洲国际、万梦众创等平台作用，推进商贸物流标准化建设，完善物流信息服务，大力发展现代物流，建立集仓储、运输、金融服务、电商服务为一体的现代物流产业基地，打造在山东省具有重要地位的物流集散中心，提升专业市场竞争力。</w:t>
      </w:r>
      <w:r>
        <w:rPr>
          <w:rFonts w:ascii="Times New Roman" w:hAnsi="Times New Roman" w:eastAsia="仿宋_GB2312"/>
          <w:b/>
          <w:bCs/>
          <w:sz w:val="32"/>
          <w:szCs w:val="32"/>
        </w:rPr>
        <w:t>三是加强组织领导和人才建设。</w:t>
      </w:r>
      <w:r>
        <w:rPr>
          <w:rFonts w:ascii="Times New Roman" w:hAnsi="Times New Roman" w:eastAsia="仿宋_GB2312"/>
          <w:sz w:val="32"/>
          <w:szCs w:val="32"/>
        </w:rPr>
        <w:t>建立周村区新旧动能转换重大工程协调推进体系沙发家具产业专班和现代物流产业专班，办公室分别设在</w:t>
      </w:r>
      <w:r>
        <w:rPr>
          <w:rFonts w:ascii="Times New Roman" w:hAnsi="Times New Roman" w:eastAsia="仿宋_GB2312"/>
          <w:color w:val="000000"/>
          <w:sz w:val="32"/>
          <w:szCs w:val="32"/>
        </w:rPr>
        <w:t>区市场监管局和</w:t>
      </w:r>
      <w:r>
        <w:rPr>
          <w:rFonts w:ascii="Times New Roman" w:hAnsi="Times New Roman" w:eastAsia="仿宋_GB2312"/>
          <w:sz w:val="32"/>
          <w:szCs w:val="32"/>
        </w:rPr>
        <w:t>区发展改革局，负责</w:t>
      </w:r>
      <w:r>
        <w:rPr>
          <w:rFonts w:ascii="Times New Roman" w:hAnsi="Times New Roman" w:eastAsia="仿宋_GB2312"/>
          <w:color w:val="000000"/>
          <w:sz w:val="32"/>
          <w:szCs w:val="32"/>
        </w:rPr>
        <w:t>谋划产业发展方向、产业布局和突破重点，协调重大项目的争取、落地、建设；建立沙发家具产业智库和现代物流产业智库，组织专家研究产业发展的战略性、前瞻性以及热点难点问题，为产业转型升级和投资结构调整提供咨询，为新技术、新工艺、新产品引进和研发提供指导。</w:t>
      </w:r>
    </w:p>
    <w:p>
      <w:pPr>
        <w:spacing w:line="560" w:lineRule="exact"/>
        <w:ind w:firstLine="640" w:firstLineChars="200"/>
        <w:jc w:val="left"/>
        <w:rPr>
          <w:rFonts w:hint="eastAsia" w:ascii="Times New Roman" w:hAnsi="Times New Roman" w:eastAsia="仿宋_GB2312"/>
          <w:color w:val="000000"/>
          <w:sz w:val="32"/>
          <w:szCs w:val="32"/>
          <w:lang w:eastAsia="zh-CN"/>
        </w:rPr>
      </w:pPr>
      <w:r>
        <w:rPr>
          <w:rFonts w:hint="eastAsia" w:ascii="Times New Roman" w:hAnsi="Times New Roman" w:eastAsia="仿宋_GB2312"/>
          <w:color w:val="000000"/>
          <w:sz w:val="32"/>
          <w:szCs w:val="32"/>
          <w:lang w:eastAsia="zh-CN"/>
        </w:rPr>
        <w:t>再次感谢您对我区市场监管事业的关心，希望您以后多提宝贵意见。</w:t>
      </w:r>
    </w:p>
    <w:p>
      <w:pPr>
        <w:spacing w:line="560" w:lineRule="exact"/>
        <w:ind w:firstLine="4480" w:firstLineChars="1400"/>
        <w:jc w:val="left"/>
        <w:rPr>
          <w:rFonts w:hint="eastAsia" w:ascii="Times New Roman" w:hAnsi="Times New Roman" w:eastAsia="仿宋_GB2312"/>
          <w:color w:val="000000"/>
          <w:sz w:val="32"/>
          <w:szCs w:val="32"/>
          <w:lang w:val="en-US" w:eastAsia="zh-CN"/>
        </w:rPr>
      </w:pPr>
    </w:p>
    <w:p>
      <w:pPr>
        <w:spacing w:line="560" w:lineRule="exact"/>
        <w:ind w:firstLine="4480" w:firstLineChars="1400"/>
        <w:jc w:val="left"/>
        <w:rPr>
          <w:rFonts w:hint="eastAsia" w:ascii="Times New Roman" w:hAnsi="Times New Roman" w:eastAsia="仿宋_GB2312"/>
          <w:color w:val="000000"/>
          <w:sz w:val="32"/>
          <w:szCs w:val="32"/>
          <w:lang w:val="en-US" w:eastAsia="zh-CN"/>
        </w:rPr>
      </w:pPr>
    </w:p>
    <w:p>
      <w:pPr>
        <w:spacing w:line="560" w:lineRule="exact"/>
        <w:jc w:val="left"/>
        <w:rPr>
          <w:rFonts w:hint="eastAsia" w:ascii="Times New Roman" w:hAnsi="Times New Roman" w:eastAsia="仿宋_GB2312"/>
          <w:color w:val="000000"/>
          <w:sz w:val="32"/>
          <w:szCs w:val="32"/>
          <w:lang w:val="en-US" w:eastAsia="zh-CN"/>
        </w:rPr>
      </w:pPr>
    </w:p>
    <w:p>
      <w:pPr>
        <w:spacing w:line="560" w:lineRule="exact"/>
        <w:jc w:val="left"/>
        <w:rPr>
          <w:rFonts w:hint="eastAsia" w:ascii="Times New Roman" w:hAnsi="Times New Roman" w:eastAsia="仿宋_GB2312"/>
          <w:color w:val="000000"/>
          <w:sz w:val="32"/>
          <w:szCs w:val="32"/>
          <w:lang w:val="en-US" w:eastAsia="zh-CN"/>
        </w:rPr>
      </w:pPr>
    </w:p>
    <w:p>
      <w:pPr>
        <w:spacing w:line="560" w:lineRule="exact"/>
        <w:jc w:val="left"/>
        <w:rPr>
          <w:rFonts w:hint="eastAsia" w:ascii="Times New Roman" w:hAnsi="Times New Roman" w:eastAsia="仿宋_GB2312"/>
          <w:color w:val="000000"/>
          <w:sz w:val="32"/>
          <w:szCs w:val="32"/>
          <w:lang w:val="en-US" w:eastAsia="zh-CN"/>
        </w:rPr>
      </w:pPr>
    </w:p>
    <w:p>
      <w:pPr>
        <w:spacing w:line="560" w:lineRule="exact"/>
        <w:jc w:val="left"/>
        <w:rPr>
          <w:rFonts w:hint="eastAsia" w:ascii="Times New Roman" w:hAnsi="Times New Roman" w:eastAsia="仿宋_GB2312"/>
          <w:color w:val="000000"/>
          <w:sz w:val="32"/>
          <w:szCs w:val="32"/>
          <w:lang w:val="en-US" w:eastAsia="zh-CN"/>
        </w:rPr>
      </w:pPr>
    </w:p>
    <w:p>
      <w:pPr>
        <w:spacing w:line="560" w:lineRule="exact"/>
        <w:ind w:firstLine="4480" w:firstLineChars="1400"/>
        <w:jc w:val="left"/>
        <w:rPr>
          <w:rFonts w:hint="eastAsia" w:ascii="Times New Roman" w:hAnsi="Times New Roman" w:eastAsia="仿宋_GB2312"/>
          <w:color w:val="000000"/>
          <w:sz w:val="32"/>
          <w:szCs w:val="32"/>
          <w:lang w:val="en-US" w:eastAsia="zh-CN"/>
        </w:rPr>
      </w:pPr>
    </w:p>
    <w:p>
      <w:pPr>
        <w:spacing w:line="560" w:lineRule="exact"/>
        <w:ind w:firstLine="4480" w:firstLineChars="1400"/>
        <w:jc w:val="left"/>
        <w:rPr>
          <w:rFonts w:hint="eastAsia" w:ascii="Times New Roman" w:hAnsi="Times New Roman" w:eastAsia="仿宋_GB2312"/>
          <w:color w:val="000000"/>
          <w:sz w:val="32"/>
          <w:szCs w:val="32"/>
          <w:lang w:val="en-US" w:eastAsia="zh-CN"/>
        </w:rPr>
      </w:pPr>
    </w:p>
    <w:p>
      <w:pPr>
        <w:spacing w:line="240" w:lineRule="auto"/>
        <w:ind w:firstLine="4480" w:firstLineChars="1400"/>
        <w:jc w:val="left"/>
        <w:rPr>
          <w:rFonts w:hint="eastAsia" w:ascii="Times New Roman" w:hAnsi="Times New Roman" w:eastAsia="仿宋_GB2312"/>
          <w:color w:val="000000"/>
          <w:sz w:val="32"/>
          <w:szCs w:val="32"/>
          <w:lang w:val="en-US" w:eastAsia="zh-CN"/>
        </w:rPr>
      </w:pPr>
      <w:r>
        <w:rPr>
          <w:rFonts w:hint="eastAsia" w:ascii="Times New Roman" w:hAnsi="Times New Roman"/>
          <w:color w:val="000000"/>
          <w:sz w:val="32"/>
          <w:szCs w:val="32"/>
          <w:lang w:val="en-US" w:eastAsia="zh-CN"/>
        </w:rPr>
        <w:t xml:space="preserve">      </w:t>
      </w:r>
      <w:r>
        <w:rPr>
          <w:rFonts w:hint="eastAsia" w:ascii="Times New Roman" w:hAnsi="Times New Roman" w:eastAsia="仿宋_GB2312"/>
          <w:color w:val="000000"/>
          <w:sz w:val="32"/>
          <w:szCs w:val="32"/>
          <w:lang w:val="en-US" w:eastAsia="zh-CN"/>
        </w:rPr>
        <w:drawing>
          <wp:inline distT="0" distB="0" distL="114300" distR="114300">
            <wp:extent cx="1438275" cy="1438275"/>
            <wp:effectExtent l="0" t="0" r="9525" b="9525"/>
            <wp:docPr id="1" name="图片 1" descr="市场监管局行政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市场监管局行政章"/>
                    <pic:cNvPicPr>
                      <a:picLocks noChangeAspect="1"/>
                    </pic:cNvPicPr>
                  </pic:nvPicPr>
                  <pic:blipFill>
                    <a:blip r:embed="rId4"/>
                    <a:stretch>
                      <a:fillRect/>
                    </a:stretch>
                  </pic:blipFill>
                  <pic:spPr>
                    <a:xfrm>
                      <a:off x="0" y="0"/>
                      <a:ext cx="1438275" cy="1438275"/>
                    </a:xfrm>
                    <a:prstGeom prst="rect">
                      <a:avLst/>
                    </a:prstGeom>
                  </pic:spPr>
                </pic:pic>
              </a:graphicData>
            </a:graphic>
          </wp:inline>
        </w:drawing>
      </w:r>
    </w:p>
    <w:p>
      <w:pPr>
        <w:spacing w:line="560" w:lineRule="exact"/>
        <w:ind w:firstLine="640" w:firstLineChars="200"/>
        <w:jc w:val="left"/>
        <w:rPr>
          <w:rFonts w:ascii="Times New Roman" w:hAnsi="Times New Roman" w:eastAsia="仿宋_GB2312"/>
          <w:sz w:val="32"/>
          <w:szCs w:val="32"/>
        </w:rPr>
      </w:pPr>
      <w:r>
        <w:rPr>
          <w:rFonts w:ascii="Times New Roman" w:hAnsi="Times New Roman" w:eastAsia="仿宋_GB2312"/>
          <w:sz w:val="32"/>
          <w:szCs w:val="32"/>
        </w:rPr>
        <w:t xml:space="preserve">                              2019年4月26日</w:t>
      </w: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p>
    <w:p>
      <w:pPr>
        <w:spacing w:line="560" w:lineRule="exact"/>
        <w:jc w:val="left"/>
        <w:rPr>
          <w:rFonts w:hint="eastAsia" w:ascii="Times New Roman" w:hAnsi="Times New Roman" w:eastAsia="仿宋_GB2312"/>
          <w:sz w:val="32"/>
          <w:szCs w:val="32"/>
          <w:lang w:val="en-US" w:eastAsia="zh-CN"/>
        </w:rPr>
      </w:pPr>
      <w:r>
        <w:rPr>
          <w:rFonts w:ascii="Times New Roman" w:hAnsi="Times New Roman" w:eastAsia="仿宋_GB2312"/>
          <w:sz w:val="32"/>
          <w:szCs w:val="32"/>
        </w:rPr>
        <w:t>联系单位及电话：周村区市场</w:t>
      </w:r>
      <w:r>
        <w:rPr>
          <w:rFonts w:hint="eastAsia" w:ascii="Times New Roman" w:hAnsi="Times New Roman" w:eastAsia="仿宋_GB2312"/>
          <w:sz w:val="32"/>
          <w:szCs w:val="32"/>
          <w:lang w:eastAsia="zh-CN"/>
        </w:rPr>
        <w:t>监督管理局</w:t>
      </w:r>
      <w:r>
        <w:rPr>
          <w:rFonts w:hint="eastAsia" w:ascii="Times New Roman" w:hAnsi="Times New Roman" w:eastAsia="仿宋_GB2312"/>
          <w:sz w:val="32"/>
          <w:szCs w:val="32"/>
          <w:lang w:val="en-US" w:eastAsia="zh-CN"/>
        </w:rPr>
        <w:t xml:space="preserve">   </w:t>
      </w:r>
      <w:r>
        <w:rPr>
          <w:rFonts w:ascii="Times New Roman" w:hAnsi="Times New Roman" w:eastAsia="仿宋_GB2312"/>
          <w:sz w:val="32"/>
          <w:szCs w:val="32"/>
        </w:rPr>
        <w:t xml:space="preserve">  61</w:t>
      </w:r>
      <w:r>
        <w:rPr>
          <w:rFonts w:hint="eastAsia" w:ascii="Times New Roman" w:hAnsi="Times New Roman" w:eastAsia="仿宋_GB2312"/>
          <w:sz w:val="32"/>
          <w:szCs w:val="32"/>
          <w:lang w:val="en-US" w:eastAsia="zh-CN"/>
        </w:rPr>
        <w:t>72609</w:t>
      </w:r>
    </w:p>
    <w:p>
      <w:r>
        <w:rPr>
          <w:rFonts w:ascii="Times New Roman" w:hAnsi="Times New Roman" w:eastAsia="仿宋_GB2312"/>
          <w:sz w:val="32"/>
          <w:szCs w:val="32"/>
        </w:rPr>
        <w:t>抄送：区人大常委会人事代表工作委员会、区政府办公室。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algun Gothic Semilight">
    <w:panose1 w:val="020B0502040204020203"/>
    <w:charset w:val="86"/>
    <w:family w:val="auto"/>
    <w:pitch w:val="default"/>
    <w:sig w:usb0="900002AF" w:usb1="01D77CFB" w:usb2="00000012" w:usb3="00000000" w:csb0="203E01BD" w:csb1="D7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EC5A88"/>
    <w:rsid w:val="04211B5C"/>
    <w:rsid w:val="158B79AF"/>
    <w:rsid w:val="188376D7"/>
    <w:rsid w:val="1CEC5A88"/>
    <w:rsid w:val="43F24093"/>
    <w:rsid w:val="68C831DE"/>
    <w:rsid w:val="71AA598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2017-09-18T01:33:00Z</dcterms:created>
  <dc:creator>Administrator</dc:creator>
  <cp:lastModifiedBy>lenovo-001</cp:lastModifiedBy>
  <dcterms:modified xsi:type="dcterms:W3CDTF">2019-11-04T03:15:34Z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