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cs="宋体"/>
          <w:sz w:val="44"/>
        </w:rPr>
      </w:pPr>
      <w:bookmarkStart w:id="0" w:name="_Toc262908646"/>
      <w:bookmarkStart w:id="1" w:name="_Toc164225556"/>
    </w:p>
    <w:p>
      <w:pPr>
        <w:ind w:firstLine="0" w:firstLineChars="0"/>
        <w:jc w:val="center"/>
        <w:rPr>
          <w:rFonts w:ascii="宋体" w:hAnsi="宋体" w:cs="宋体"/>
          <w:sz w:val="44"/>
        </w:rPr>
      </w:pPr>
    </w:p>
    <w:p>
      <w:pPr>
        <w:ind w:firstLine="0" w:firstLineChars="0"/>
        <w:jc w:val="center"/>
        <w:rPr>
          <w:rFonts w:ascii="宋体" w:hAnsi="宋体" w:cs="宋体"/>
          <w:b/>
          <w:sz w:val="52"/>
          <w:szCs w:val="52"/>
        </w:rPr>
      </w:pPr>
      <w:r>
        <w:rPr>
          <w:rFonts w:hint="eastAsia" w:ascii="宋体" w:hAnsi="宋体" w:cs="宋体"/>
          <w:b/>
          <w:sz w:val="52"/>
          <w:szCs w:val="52"/>
        </w:rPr>
        <w:t>山东省淄博市周村区</w:t>
      </w:r>
    </w:p>
    <w:p>
      <w:pPr>
        <w:ind w:firstLine="0" w:firstLineChars="0"/>
        <w:jc w:val="center"/>
        <w:rPr>
          <w:rFonts w:ascii="宋体" w:hAnsi="宋体" w:cs="宋体"/>
          <w:b/>
          <w:sz w:val="52"/>
          <w:szCs w:val="52"/>
        </w:rPr>
      </w:pPr>
      <w:r>
        <w:rPr>
          <w:rFonts w:hint="eastAsia" w:ascii="宋体" w:hAnsi="宋体" w:cs="宋体"/>
          <w:b/>
          <w:sz w:val="52"/>
          <w:szCs w:val="52"/>
        </w:rPr>
        <w:t>东道水库</w:t>
      </w:r>
    </w:p>
    <w:p>
      <w:pPr>
        <w:ind w:firstLine="0" w:firstLineChars="0"/>
        <w:jc w:val="center"/>
        <w:rPr>
          <w:rFonts w:ascii="宋体" w:hAnsi="宋体" w:cs="宋体"/>
          <w:b/>
          <w:bCs/>
          <w:sz w:val="52"/>
          <w:szCs w:val="52"/>
        </w:rPr>
      </w:pPr>
    </w:p>
    <w:p>
      <w:pPr>
        <w:ind w:firstLine="0" w:firstLineChars="0"/>
        <w:jc w:val="center"/>
        <w:rPr>
          <w:rFonts w:ascii="宋体" w:hAnsi="宋体" w:cs="宋体"/>
          <w:b/>
          <w:bCs/>
          <w:sz w:val="72"/>
          <w:szCs w:val="72"/>
        </w:rPr>
      </w:pPr>
      <w:r>
        <w:rPr>
          <w:rFonts w:hint="eastAsia" w:ascii="宋体" w:hAnsi="宋体" w:cs="宋体"/>
          <w:b/>
          <w:bCs/>
          <w:sz w:val="72"/>
          <w:szCs w:val="72"/>
        </w:rPr>
        <w:t>防洪抢险应急预案</w:t>
      </w:r>
    </w:p>
    <w:p>
      <w:pPr>
        <w:ind w:firstLine="0" w:firstLineChars="0"/>
        <w:jc w:val="center"/>
        <w:rPr>
          <w:rFonts w:ascii="宋体" w:hAnsi="宋体" w:cs="宋体"/>
          <w:b/>
          <w:bCs/>
          <w:sz w:val="52"/>
          <w:szCs w:val="52"/>
        </w:rPr>
      </w:pPr>
      <w:r>
        <w:rPr>
          <w:rFonts w:hint="eastAsia" w:ascii="宋体" w:hAnsi="宋体" w:cs="宋体"/>
          <w:b/>
          <w:bCs/>
          <w:sz w:val="52"/>
          <w:szCs w:val="52"/>
        </w:rPr>
        <w:t>（报批稿）</w:t>
      </w:r>
    </w:p>
    <w:p>
      <w:pPr>
        <w:ind w:firstLine="0" w:firstLineChars="0"/>
        <w:jc w:val="center"/>
        <w:rPr>
          <w:rFonts w:ascii="宋体" w:hAnsi="宋体" w:cs="宋体"/>
          <w:b/>
          <w:bCs/>
          <w:sz w:val="52"/>
          <w:szCs w:val="52"/>
        </w:rPr>
      </w:pPr>
    </w:p>
    <w:p>
      <w:pPr>
        <w:ind w:firstLine="0" w:firstLineChars="0"/>
        <w:rPr>
          <w:rFonts w:ascii="宋体" w:hAnsi="宋体" w:cs="宋体"/>
          <w:sz w:val="72"/>
        </w:rPr>
      </w:pPr>
    </w:p>
    <w:p>
      <w:pPr>
        <w:ind w:firstLine="0" w:firstLineChars="0"/>
        <w:rPr>
          <w:rFonts w:ascii="宋体" w:hAnsi="宋体" w:cs="宋体"/>
          <w:sz w:val="72"/>
        </w:rPr>
      </w:pPr>
    </w:p>
    <w:p>
      <w:pPr>
        <w:ind w:firstLine="0" w:firstLineChars="0"/>
        <w:rPr>
          <w:rFonts w:ascii="宋体" w:hAnsi="宋体" w:cs="宋体"/>
          <w:sz w:val="72"/>
        </w:rPr>
      </w:pPr>
    </w:p>
    <w:p>
      <w:pPr>
        <w:ind w:firstLine="0" w:firstLineChars="0"/>
        <w:rPr>
          <w:rFonts w:ascii="宋体" w:hAnsi="宋体" w:cs="宋体"/>
          <w:sz w:val="72"/>
        </w:rPr>
      </w:pPr>
    </w:p>
    <w:p>
      <w:pPr>
        <w:ind w:firstLine="0" w:firstLineChars="0"/>
        <w:jc w:val="center"/>
        <w:rPr>
          <w:rFonts w:ascii="宋体" w:hAnsi="宋体" w:cs="宋体"/>
          <w:b/>
          <w:sz w:val="32"/>
          <w:szCs w:val="32"/>
        </w:rPr>
      </w:pPr>
      <w:r>
        <w:rPr>
          <w:rFonts w:hint="eastAsia" w:ascii="宋体" w:hAnsi="宋体" w:cs="宋体"/>
          <w:b/>
          <w:sz w:val="32"/>
          <w:szCs w:val="32"/>
        </w:rPr>
        <w:t>淄博市周村区王村镇人民政府</w:t>
      </w:r>
    </w:p>
    <w:p>
      <w:pPr>
        <w:ind w:firstLine="0" w:firstLineChars="0"/>
        <w:jc w:val="center"/>
        <w:rPr>
          <w:rFonts w:ascii="宋体" w:hAnsi="宋体" w:cs="宋体"/>
          <w:b/>
          <w:sz w:val="32"/>
          <w:szCs w:val="32"/>
        </w:rPr>
      </w:pPr>
      <w:r>
        <w:rPr>
          <w:rFonts w:hint="eastAsia" w:ascii="宋体" w:hAnsi="宋体" w:cs="宋体"/>
          <w:b/>
          <w:sz w:val="32"/>
          <w:szCs w:val="32"/>
        </w:rPr>
        <w:t>山东新汇建设集团有限公司</w:t>
      </w:r>
    </w:p>
    <w:p>
      <w:pPr>
        <w:ind w:firstLine="0" w:firstLineChars="0"/>
        <w:jc w:val="center"/>
        <w:rPr>
          <w:rFonts w:ascii="宋体" w:hAnsi="宋体" w:cs="宋体"/>
          <w:b/>
          <w:sz w:val="32"/>
          <w:szCs w:val="32"/>
        </w:rPr>
      </w:pPr>
      <w:r>
        <w:rPr>
          <w:rFonts w:hint="eastAsia" w:ascii="宋体" w:hAnsi="宋体" w:cs="宋体"/>
          <w:b/>
          <w:sz w:val="32"/>
          <w:szCs w:val="32"/>
        </w:rPr>
        <w:t>2020年0</w:t>
      </w:r>
      <w:r>
        <w:rPr>
          <w:rFonts w:ascii="宋体" w:hAnsi="宋体" w:cs="宋体"/>
          <w:b/>
          <w:sz w:val="32"/>
          <w:szCs w:val="32"/>
        </w:rPr>
        <w:t>8</w:t>
      </w:r>
      <w:r>
        <w:rPr>
          <w:rFonts w:hint="eastAsia" w:ascii="宋体" w:hAnsi="宋体" w:cs="宋体"/>
          <w:b/>
          <w:sz w:val="32"/>
          <w:szCs w:val="32"/>
        </w:rPr>
        <w:t>月</w:t>
      </w:r>
    </w:p>
    <w:p>
      <w:pPr>
        <w:ind w:firstLine="0" w:firstLineChars="0"/>
        <w:jc w:val="center"/>
        <w:rPr>
          <w:rFonts w:ascii="宋体" w:hAnsi="宋体" w:cs="宋体"/>
          <w:sz w:val="44"/>
        </w:rPr>
      </w:pPr>
      <w:r>
        <w:rPr>
          <w:rFonts w:hint="eastAsia" w:ascii="宋体" w:hAnsi="宋体" w:cs="宋体"/>
          <w:b/>
          <w:sz w:val="32"/>
          <w:szCs w:val="32"/>
        </w:rPr>
        <w:br w:type="page"/>
      </w:r>
    </w:p>
    <w:p>
      <w:pPr>
        <w:ind w:firstLine="0" w:firstLineChars="0"/>
        <w:jc w:val="center"/>
        <w:rPr>
          <w:rFonts w:ascii="宋体" w:hAnsi="宋体" w:cs="宋体"/>
          <w:b/>
          <w:sz w:val="44"/>
        </w:rPr>
      </w:pPr>
    </w:p>
    <w:p>
      <w:pPr>
        <w:ind w:firstLine="0" w:firstLineChars="0"/>
        <w:jc w:val="center"/>
        <w:rPr>
          <w:rFonts w:ascii="宋体" w:hAnsi="宋体" w:cs="宋体"/>
          <w:b/>
          <w:sz w:val="44"/>
        </w:rPr>
      </w:pPr>
    </w:p>
    <w:p>
      <w:pPr>
        <w:ind w:firstLine="0" w:firstLineChars="0"/>
        <w:jc w:val="center"/>
        <w:rPr>
          <w:rFonts w:ascii="宋体" w:hAnsi="宋体" w:cs="宋体"/>
          <w:b/>
          <w:sz w:val="52"/>
          <w:szCs w:val="52"/>
        </w:rPr>
      </w:pPr>
      <w:r>
        <w:rPr>
          <w:rFonts w:hint="eastAsia" w:ascii="宋体" w:hAnsi="宋体" w:cs="宋体"/>
          <w:b/>
          <w:sz w:val="52"/>
          <w:szCs w:val="52"/>
        </w:rPr>
        <w:t>山东省淄博市周村区</w:t>
      </w:r>
    </w:p>
    <w:p>
      <w:pPr>
        <w:ind w:firstLine="0" w:firstLineChars="0"/>
        <w:jc w:val="center"/>
        <w:rPr>
          <w:rFonts w:ascii="宋体" w:hAnsi="宋体" w:cs="宋体"/>
          <w:b/>
          <w:sz w:val="52"/>
          <w:szCs w:val="52"/>
        </w:rPr>
      </w:pPr>
      <w:r>
        <w:rPr>
          <w:rFonts w:hint="eastAsia" w:ascii="宋体" w:hAnsi="宋体" w:cs="宋体"/>
          <w:b/>
          <w:sz w:val="52"/>
          <w:szCs w:val="52"/>
        </w:rPr>
        <w:t>东道水库</w:t>
      </w:r>
    </w:p>
    <w:p>
      <w:pPr>
        <w:ind w:firstLine="0" w:firstLineChars="0"/>
        <w:jc w:val="center"/>
        <w:rPr>
          <w:rFonts w:ascii="宋体" w:hAnsi="宋体" w:cs="宋体"/>
          <w:b/>
          <w:bCs/>
          <w:sz w:val="52"/>
          <w:szCs w:val="52"/>
        </w:rPr>
      </w:pPr>
    </w:p>
    <w:p>
      <w:pPr>
        <w:ind w:firstLine="0" w:firstLineChars="0"/>
        <w:jc w:val="center"/>
        <w:rPr>
          <w:rFonts w:ascii="宋体" w:hAnsi="宋体" w:cs="宋体"/>
          <w:b/>
          <w:bCs/>
          <w:sz w:val="72"/>
          <w:szCs w:val="72"/>
        </w:rPr>
      </w:pPr>
      <w:r>
        <w:rPr>
          <w:rFonts w:hint="eastAsia" w:ascii="宋体" w:hAnsi="宋体" w:cs="宋体"/>
          <w:b/>
          <w:bCs/>
          <w:sz w:val="72"/>
          <w:szCs w:val="72"/>
        </w:rPr>
        <w:t>防洪抢险应急预案</w:t>
      </w:r>
    </w:p>
    <w:p>
      <w:pPr>
        <w:ind w:firstLine="0" w:firstLineChars="0"/>
        <w:jc w:val="center"/>
        <w:rPr>
          <w:rFonts w:ascii="宋体" w:hAnsi="宋体" w:cs="宋体"/>
          <w:b/>
          <w:bCs/>
          <w:sz w:val="52"/>
          <w:szCs w:val="52"/>
        </w:rPr>
      </w:pPr>
      <w:r>
        <w:rPr>
          <w:rFonts w:hint="eastAsia" w:ascii="宋体" w:hAnsi="宋体" w:cs="宋体"/>
          <w:b/>
          <w:bCs/>
          <w:sz w:val="52"/>
          <w:szCs w:val="52"/>
        </w:rPr>
        <w:t>（报批稿）</w:t>
      </w:r>
    </w:p>
    <w:p>
      <w:pPr>
        <w:ind w:firstLine="0" w:firstLineChars="0"/>
        <w:jc w:val="center"/>
        <w:rPr>
          <w:rFonts w:ascii="宋体" w:hAnsi="宋体" w:cs="宋体"/>
          <w:b/>
          <w:bCs/>
          <w:sz w:val="52"/>
          <w:szCs w:val="52"/>
        </w:rPr>
      </w:pPr>
    </w:p>
    <w:p>
      <w:pPr>
        <w:ind w:firstLine="0" w:firstLineChars="0"/>
        <w:jc w:val="center"/>
        <w:rPr>
          <w:rFonts w:ascii="宋体" w:hAnsi="宋体" w:cs="宋体"/>
          <w:b/>
          <w:sz w:val="44"/>
        </w:rPr>
      </w:pPr>
    </w:p>
    <w:p>
      <w:pPr>
        <w:ind w:firstLine="0" w:firstLineChars="0"/>
        <w:rPr>
          <w:rFonts w:ascii="宋体" w:hAnsi="宋体" w:cs="宋体"/>
          <w:b/>
          <w:sz w:val="72"/>
        </w:rPr>
      </w:pPr>
    </w:p>
    <w:p>
      <w:pPr>
        <w:ind w:firstLine="0" w:firstLineChars="0"/>
        <w:rPr>
          <w:rFonts w:ascii="宋体" w:hAnsi="宋体" w:cs="宋体"/>
          <w:b/>
          <w:sz w:val="72"/>
        </w:rPr>
      </w:pPr>
    </w:p>
    <w:p>
      <w:pPr>
        <w:ind w:firstLine="0" w:firstLineChars="0"/>
        <w:rPr>
          <w:rFonts w:ascii="宋体" w:hAnsi="宋体" w:cs="宋体"/>
          <w:b/>
          <w:sz w:val="72"/>
        </w:rPr>
      </w:pPr>
    </w:p>
    <w:p>
      <w:pPr>
        <w:ind w:firstLine="1766" w:firstLineChars="550"/>
        <w:rPr>
          <w:rFonts w:ascii="宋体" w:hAnsi="宋体" w:cs="宋体"/>
          <w:b/>
          <w:sz w:val="32"/>
          <w:szCs w:val="32"/>
        </w:rPr>
      </w:pPr>
      <w:r>
        <w:rPr>
          <w:rFonts w:hint="eastAsia" w:ascii="宋体" w:hAnsi="宋体" w:cs="宋体"/>
          <w:b/>
          <w:sz w:val="32"/>
          <w:szCs w:val="32"/>
        </w:rPr>
        <w:t>编制单位：山东新汇建设集团有限公司</w:t>
      </w:r>
    </w:p>
    <w:p>
      <w:pPr>
        <w:ind w:firstLine="1766" w:firstLineChars="550"/>
        <w:rPr>
          <w:rFonts w:ascii="宋体" w:hAnsi="宋体" w:cs="宋体"/>
          <w:b/>
          <w:sz w:val="32"/>
          <w:szCs w:val="32"/>
        </w:rPr>
      </w:pPr>
      <w:r>
        <w:rPr>
          <w:rFonts w:hint="eastAsia" w:ascii="宋体" w:hAnsi="宋体" w:cs="宋体"/>
          <w:b/>
          <w:sz w:val="32"/>
          <w:szCs w:val="32"/>
        </w:rPr>
        <w:t>资质证书编号：A137007297</w:t>
      </w:r>
    </w:p>
    <w:p>
      <w:pPr>
        <w:ind w:firstLine="1766" w:firstLineChars="550"/>
        <w:rPr>
          <w:rFonts w:ascii="宋体" w:hAnsi="宋体" w:cs="宋体"/>
          <w:b/>
          <w:sz w:val="32"/>
          <w:szCs w:val="32"/>
        </w:rPr>
      </w:pPr>
      <w:r>
        <w:rPr>
          <w:rFonts w:hint="eastAsia" w:ascii="宋体" w:hAnsi="宋体" w:cs="宋体"/>
          <w:b/>
          <w:sz w:val="32"/>
          <w:szCs w:val="32"/>
        </w:rPr>
        <w:t>编制日期：2020年04月</w:t>
      </w:r>
      <w:bookmarkEnd w:id="0"/>
      <w:bookmarkEnd w:id="1"/>
    </w:p>
    <w:p>
      <w:pPr>
        <w:ind w:firstLine="482"/>
        <w:jc w:val="center"/>
        <w:rPr>
          <w:b/>
        </w:rPr>
      </w:pPr>
    </w:p>
    <w:p>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74" w:right="1701" w:bottom="1474" w:left="1701" w:header="851" w:footer="992" w:gutter="0"/>
          <w:pgNumType w:fmt="upperRoman"/>
          <w:cols w:space="720" w:num="1"/>
          <w:docGrid w:type="lines" w:linePitch="330" w:charSpace="0"/>
        </w:sectPr>
      </w:pPr>
    </w:p>
    <w:p>
      <w:pPr>
        <w:ind w:firstLine="0" w:firstLineChars="0"/>
      </w:pPr>
    </w:p>
    <w:p>
      <w:pPr>
        <w:pStyle w:val="22"/>
        <w:tabs>
          <w:tab w:val="right" w:leader="dot" w:pos="8504"/>
        </w:tabs>
        <w:spacing w:before="165" w:beforeLines="50" w:after="165" w:afterLines="50"/>
        <w:ind w:firstLine="0" w:firstLineChars="0"/>
        <w:jc w:val="center"/>
        <w:rPr>
          <w:b/>
          <w:bCs/>
          <w:sz w:val="32"/>
          <w:szCs w:val="32"/>
        </w:rPr>
      </w:pPr>
      <w:r>
        <w:rPr>
          <w:rFonts w:hint="eastAsia"/>
          <w:b/>
          <w:bCs/>
          <w:sz w:val="32"/>
          <w:szCs w:val="32"/>
        </w:rPr>
        <w:t>目录</w:t>
      </w:r>
    </w:p>
    <w:p>
      <w:pPr>
        <w:pStyle w:val="22"/>
        <w:tabs>
          <w:tab w:val="left" w:pos="1050"/>
          <w:tab w:val="right" w:leader="dot" w:pos="8494"/>
        </w:tabs>
        <w:ind w:firstLine="480"/>
        <w:rPr>
          <w:rFonts w:asciiTheme="minorHAnsi" w:hAnsiTheme="minorHAnsi" w:eastAsiaTheme="minorEastAsia" w:cstheme="minorBidi"/>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"_Toc518843405" </w:instrText>
      </w:r>
      <w:r>
        <w:fldChar w:fldCharType="separate"/>
      </w:r>
      <w:r>
        <w:rPr>
          <w:rStyle w:val="27"/>
          <w:color w:val="auto"/>
        </w:rPr>
        <w:t>1</w:t>
      </w:r>
      <w:r>
        <w:rPr>
          <w:rFonts w:asciiTheme="minorHAnsi" w:hAnsiTheme="minorHAnsi" w:eastAsiaTheme="minorEastAsia" w:cstheme="minorBidi"/>
          <w:sz w:val="21"/>
          <w:szCs w:val="22"/>
        </w:rPr>
        <w:tab/>
      </w:r>
      <w:r>
        <w:rPr>
          <w:rStyle w:val="27"/>
          <w:rFonts w:hint="eastAsia"/>
          <w:color w:val="auto"/>
        </w:rPr>
        <w:t>总则</w:t>
      </w:r>
      <w:r>
        <w:tab/>
      </w:r>
      <w:r>
        <w:fldChar w:fldCharType="begin"/>
      </w:r>
      <w:r>
        <w:instrText xml:space="preserve"> PAGEREF _Toc518843405 \h </w:instrText>
      </w:r>
      <w:r>
        <w:fldChar w:fldCharType="separate"/>
      </w:r>
      <w:r>
        <w:t>- 1 -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"_Toc518843406" </w:instrText>
      </w:r>
      <w:r>
        <w:fldChar w:fldCharType="separate"/>
      </w:r>
      <w:r>
        <w:rPr>
          <w:rStyle w:val="27"/>
          <w:color w:val="auto"/>
        </w:rPr>
        <w:t>1.1</w:t>
      </w:r>
      <w:r>
        <w:rPr>
          <w:rFonts w:asciiTheme="minorHAnsi" w:hAnsiTheme="minorHAnsi" w:eastAsiaTheme="minorEastAsia" w:cstheme="minorBidi"/>
          <w:sz w:val="21"/>
          <w:szCs w:val="22"/>
        </w:rPr>
        <w:tab/>
      </w:r>
      <w:r>
        <w:rPr>
          <w:rStyle w:val="27"/>
          <w:rFonts w:hint="eastAsia"/>
          <w:color w:val="auto"/>
        </w:rPr>
        <w:t>编制目的</w:t>
      </w:r>
      <w:r>
        <w:tab/>
      </w:r>
      <w:r>
        <w:fldChar w:fldCharType="begin"/>
      </w:r>
      <w:r>
        <w:instrText xml:space="preserve"> PAGEREF _Toc518843406 \h </w:instrText>
      </w:r>
      <w:r>
        <w:fldChar w:fldCharType="separate"/>
      </w:r>
      <w:r>
        <w:t>- 1 -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"_Toc518843407" </w:instrText>
      </w:r>
      <w:r>
        <w:fldChar w:fldCharType="separate"/>
      </w:r>
      <w:r>
        <w:rPr>
          <w:rStyle w:val="27"/>
          <w:color w:val="auto"/>
        </w:rPr>
        <w:t>1.2</w:t>
      </w:r>
      <w:r>
        <w:rPr>
          <w:rFonts w:asciiTheme="minorHAnsi" w:hAnsiTheme="minorHAnsi" w:eastAsiaTheme="minorEastAsia" w:cstheme="minorBidi"/>
          <w:sz w:val="21"/>
          <w:szCs w:val="22"/>
        </w:rPr>
        <w:tab/>
      </w:r>
      <w:r>
        <w:rPr>
          <w:rStyle w:val="27"/>
          <w:rFonts w:hint="eastAsia"/>
          <w:color w:val="auto"/>
        </w:rPr>
        <w:t>编制依据</w:t>
      </w:r>
      <w:r>
        <w:tab/>
      </w:r>
      <w:r>
        <w:fldChar w:fldCharType="begin"/>
      </w:r>
      <w:r>
        <w:instrText xml:space="preserve"> PAGEREF _Toc518843407 \h </w:instrText>
      </w:r>
      <w:r>
        <w:fldChar w:fldCharType="separate"/>
      </w:r>
      <w:r>
        <w:t>- 1 -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"_Toc518843408" </w:instrText>
      </w:r>
      <w:r>
        <w:fldChar w:fldCharType="separate"/>
      </w:r>
      <w:r>
        <w:rPr>
          <w:rStyle w:val="27"/>
          <w:color w:val="auto"/>
        </w:rPr>
        <w:t>1.3</w:t>
      </w:r>
      <w:r>
        <w:rPr>
          <w:rFonts w:asciiTheme="minorHAnsi" w:hAnsiTheme="minorHAnsi" w:eastAsiaTheme="minorEastAsia" w:cstheme="minorBidi"/>
          <w:sz w:val="21"/>
          <w:szCs w:val="22"/>
        </w:rPr>
        <w:tab/>
      </w:r>
      <w:r>
        <w:rPr>
          <w:rStyle w:val="27"/>
          <w:rFonts w:hint="eastAsia"/>
          <w:color w:val="auto"/>
        </w:rPr>
        <w:t>工作原则</w:t>
      </w:r>
      <w:r>
        <w:tab/>
      </w:r>
      <w:r>
        <w:fldChar w:fldCharType="begin"/>
      </w:r>
      <w:r>
        <w:instrText xml:space="preserve"> PAGEREF _Toc518843408 \h </w:instrText>
      </w:r>
      <w:r>
        <w:fldChar w:fldCharType="separate"/>
      </w:r>
      <w:r>
        <w:t>- 2 -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"_Toc518843409" </w:instrText>
      </w:r>
      <w:r>
        <w:fldChar w:fldCharType="separate"/>
      </w:r>
      <w:r>
        <w:rPr>
          <w:rStyle w:val="27"/>
          <w:color w:val="auto"/>
        </w:rPr>
        <w:t>1.4</w:t>
      </w:r>
      <w:r>
        <w:rPr>
          <w:rFonts w:asciiTheme="minorHAnsi" w:hAnsiTheme="minorHAnsi" w:eastAsiaTheme="minorEastAsia" w:cstheme="minorBidi"/>
          <w:sz w:val="21"/>
          <w:szCs w:val="22"/>
        </w:rPr>
        <w:tab/>
      </w:r>
      <w:r>
        <w:rPr>
          <w:rStyle w:val="27"/>
          <w:rFonts w:hint="eastAsia"/>
          <w:color w:val="auto"/>
        </w:rPr>
        <w:t>适用范围</w:t>
      </w:r>
      <w:r>
        <w:tab/>
      </w:r>
      <w:r>
        <w:fldChar w:fldCharType="begin"/>
      </w:r>
      <w:r>
        <w:instrText xml:space="preserve"> PAGEREF _Toc518843409 \h </w:instrText>
      </w:r>
      <w:r>
        <w:fldChar w:fldCharType="separate"/>
      </w:r>
      <w:r>
        <w:t>- 2 -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"_Toc518843410" </w:instrText>
      </w:r>
      <w:r>
        <w:fldChar w:fldCharType="separate"/>
      </w:r>
      <w:r>
        <w:rPr>
          <w:rStyle w:val="27"/>
          <w:color w:val="auto"/>
        </w:rPr>
        <w:t>2</w:t>
      </w:r>
      <w:r>
        <w:rPr>
          <w:rFonts w:asciiTheme="minorHAnsi" w:hAnsiTheme="minorHAnsi" w:eastAsiaTheme="minorEastAsia" w:cstheme="minorBidi"/>
          <w:sz w:val="21"/>
          <w:szCs w:val="22"/>
        </w:rPr>
        <w:tab/>
      </w:r>
      <w:r>
        <w:rPr>
          <w:rStyle w:val="27"/>
          <w:rFonts w:hint="eastAsia"/>
          <w:color w:val="auto"/>
        </w:rPr>
        <w:t>工程概况</w:t>
      </w:r>
      <w:r>
        <w:tab/>
      </w:r>
      <w:r>
        <w:fldChar w:fldCharType="begin"/>
      </w:r>
      <w:r>
        <w:instrText xml:space="preserve"> PAGEREF _Toc518843410 \h </w:instrText>
      </w:r>
      <w:r>
        <w:fldChar w:fldCharType="separate"/>
      </w:r>
      <w:r>
        <w:t>- 4 -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"_Toc518843411" </w:instrText>
      </w:r>
      <w:r>
        <w:fldChar w:fldCharType="separate"/>
      </w:r>
      <w:r>
        <w:rPr>
          <w:rStyle w:val="27"/>
          <w:color w:val="auto"/>
        </w:rPr>
        <w:t>2.1</w:t>
      </w:r>
      <w:r>
        <w:rPr>
          <w:rFonts w:asciiTheme="minorHAnsi" w:hAnsiTheme="minorHAnsi" w:eastAsiaTheme="minorEastAsia" w:cstheme="minorBidi"/>
          <w:sz w:val="21"/>
          <w:szCs w:val="22"/>
        </w:rPr>
        <w:tab/>
      </w:r>
      <w:r>
        <w:rPr>
          <w:rStyle w:val="27"/>
          <w:rFonts w:hint="eastAsia"/>
          <w:color w:val="auto"/>
        </w:rPr>
        <w:t>流域概况</w:t>
      </w:r>
      <w:r>
        <w:tab/>
      </w:r>
      <w:r>
        <w:fldChar w:fldCharType="begin"/>
      </w:r>
      <w:r>
        <w:instrText xml:space="preserve"> PAGEREF _Toc518843411 \h </w:instrText>
      </w:r>
      <w:r>
        <w:fldChar w:fldCharType="separate"/>
      </w:r>
      <w:r>
        <w:t>- 4 -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"_Toc518843412" </w:instrText>
      </w:r>
      <w:r>
        <w:fldChar w:fldCharType="separate"/>
      </w:r>
      <w:r>
        <w:rPr>
          <w:rStyle w:val="27"/>
          <w:color w:val="auto"/>
        </w:rPr>
        <w:t>2.2</w:t>
      </w:r>
      <w:r>
        <w:rPr>
          <w:rFonts w:asciiTheme="minorHAnsi" w:hAnsiTheme="minorHAnsi" w:eastAsiaTheme="minorEastAsia" w:cstheme="minorBidi"/>
          <w:sz w:val="21"/>
          <w:szCs w:val="22"/>
        </w:rPr>
        <w:tab/>
      </w:r>
      <w:r>
        <w:rPr>
          <w:rStyle w:val="27"/>
          <w:rFonts w:hint="eastAsia"/>
          <w:color w:val="auto"/>
        </w:rPr>
        <w:t>工程基本情况</w:t>
      </w:r>
      <w:r>
        <w:tab/>
      </w:r>
      <w:r>
        <w:fldChar w:fldCharType="begin"/>
      </w:r>
      <w:r>
        <w:instrText xml:space="preserve"> PAGEREF _Toc518843412 \h </w:instrText>
      </w:r>
      <w:r>
        <w:fldChar w:fldCharType="separate"/>
      </w:r>
      <w:r>
        <w:t>- 5 -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"_Toc518843413" </w:instrText>
      </w:r>
      <w:r>
        <w:fldChar w:fldCharType="separate"/>
      </w:r>
      <w:r>
        <w:rPr>
          <w:rStyle w:val="27"/>
          <w:color w:val="auto"/>
        </w:rPr>
        <w:t>2.3</w:t>
      </w:r>
      <w:r>
        <w:rPr>
          <w:rFonts w:asciiTheme="minorHAnsi" w:hAnsiTheme="minorHAnsi" w:eastAsiaTheme="minorEastAsia" w:cstheme="minorBidi"/>
          <w:sz w:val="21"/>
          <w:szCs w:val="22"/>
        </w:rPr>
        <w:tab/>
      </w:r>
      <w:r>
        <w:rPr>
          <w:rStyle w:val="27"/>
          <w:rFonts w:hint="eastAsia"/>
          <w:color w:val="auto"/>
        </w:rPr>
        <w:t>水文</w:t>
      </w:r>
      <w:r>
        <w:tab/>
      </w:r>
      <w:r>
        <w:fldChar w:fldCharType="begin"/>
      </w:r>
      <w:r>
        <w:instrText xml:space="preserve"> PAGEREF _Toc518843413 \h </w:instrText>
      </w:r>
      <w:r>
        <w:fldChar w:fldCharType="separate"/>
      </w:r>
      <w:r>
        <w:t>- 10 -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"_Toc518843414" </w:instrText>
      </w:r>
      <w:r>
        <w:fldChar w:fldCharType="separate"/>
      </w:r>
      <w:r>
        <w:rPr>
          <w:rStyle w:val="27"/>
          <w:color w:val="auto"/>
        </w:rPr>
        <w:t>2.4</w:t>
      </w:r>
      <w:r>
        <w:rPr>
          <w:rFonts w:asciiTheme="minorHAnsi" w:hAnsiTheme="minorHAnsi" w:eastAsiaTheme="minorEastAsia" w:cstheme="minorBidi"/>
          <w:sz w:val="21"/>
          <w:szCs w:val="22"/>
        </w:rPr>
        <w:tab/>
      </w:r>
      <w:r>
        <w:rPr>
          <w:rStyle w:val="27"/>
          <w:rFonts w:hint="eastAsia"/>
          <w:color w:val="auto"/>
        </w:rPr>
        <w:t>工程安全监测</w:t>
      </w:r>
      <w:r>
        <w:tab/>
      </w:r>
      <w:r>
        <w:fldChar w:fldCharType="begin"/>
      </w:r>
      <w:r>
        <w:instrText xml:space="preserve"> PAGEREF _Toc518843414 \h </w:instrText>
      </w:r>
      <w:r>
        <w:fldChar w:fldCharType="separate"/>
      </w:r>
      <w:r>
        <w:t>- 16 -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"_Toc518843415" </w:instrText>
      </w:r>
      <w:r>
        <w:fldChar w:fldCharType="separate"/>
      </w:r>
      <w:r>
        <w:rPr>
          <w:rStyle w:val="27"/>
          <w:color w:val="auto"/>
        </w:rPr>
        <w:t>2.5</w:t>
      </w:r>
      <w:r>
        <w:rPr>
          <w:rFonts w:asciiTheme="minorHAnsi" w:hAnsiTheme="minorHAnsi" w:eastAsiaTheme="minorEastAsia" w:cstheme="minorBidi"/>
          <w:sz w:val="21"/>
          <w:szCs w:val="22"/>
        </w:rPr>
        <w:tab/>
      </w:r>
      <w:r>
        <w:rPr>
          <w:rStyle w:val="27"/>
          <w:rFonts w:hint="eastAsia"/>
          <w:color w:val="auto"/>
        </w:rPr>
        <w:t>汛期调度运用计划</w:t>
      </w:r>
      <w:r>
        <w:tab/>
      </w:r>
      <w:r>
        <w:fldChar w:fldCharType="begin"/>
      </w:r>
      <w:r>
        <w:instrText xml:space="preserve"> PAGEREF _Toc518843415 \h </w:instrText>
      </w:r>
      <w:r>
        <w:fldChar w:fldCharType="separate"/>
      </w:r>
      <w:r>
        <w:t>- 16 -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"_Toc518843416" </w:instrText>
      </w:r>
      <w:r>
        <w:fldChar w:fldCharType="separate"/>
      </w:r>
      <w:r>
        <w:rPr>
          <w:rStyle w:val="27"/>
          <w:color w:val="auto"/>
        </w:rPr>
        <w:t>2.6</w:t>
      </w:r>
      <w:r>
        <w:rPr>
          <w:rFonts w:asciiTheme="minorHAnsi" w:hAnsiTheme="minorHAnsi" w:eastAsiaTheme="minorEastAsia" w:cstheme="minorBidi"/>
          <w:sz w:val="21"/>
          <w:szCs w:val="22"/>
        </w:rPr>
        <w:tab/>
      </w:r>
      <w:r>
        <w:rPr>
          <w:rStyle w:val="27"/>
          <w:rFonts w:hint="eastAsia"/>
          <w:color w:val="auto"/>
        </w:rPr>
        <w:t>历史灾害及抢险情况</w:t>
      </w:r>
      <w:r>
        <w:tab/>
      </w:r>
      <w:r>
        <w:fldChar w:fldCharType="begin"/>
      </w:r>
      <w:r>
        <w:instrText xml:space="preserve"> PAGEREF _Toc518843416 \h </w:instrText>
      </w:r>
      <w:r>
        <w:fldChar w:fldCharType="separate"/>
      </w:r>
      <w:r>
        <w:t>- 17 -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"_Toc518843417" </w:instrText>
      </w:r>
      <w:r>
        <w:fldChar w:fldCharType="separate"/>
      </w:r>
      <w:r>
        <w:rPr>
          <w:rStyle w:val="27"/>
          <w:color w:val="auto"/>
        </w:rPr>
        <w:t>3</w:t>
      </w:r>
      <w:r>
        <w:rPr>
          <w:rFonts w:asciiTheme="minorHAnsi" w:hAnsiTheme="minorHAnsi" w:eastAsiaTheme="minorEastAsia" w:cstheme="minorBidi"/>
          <w:sz w:val="21"/>
          <w:szCs w:val="22"/>
        </w:rPr>
        <w:tab/>
      </w:r>
      <w:r>
        <w:rPr>
          <w:rStyle w:val="27"/>
          <w:rFonts w:hint="eastAsia"/>
          <w:color w:val="auto"/>
        </w:rPr>
        <w:t>突发事件危害性分析</w:t>
      </w:r>
      <w:r>
        <w:tab/>
      </w:r>
      <w:r>
        <w:fldChar w:fldCharType="begin"/>
      </w:r>
      <w:r>
        <w:instrText xml:space="preserve"> PAGEREF _Toc518843417 \h </w:instrText>
      </w:r>
      <w:r>
        <w:fldChar w:fldCharType="separate"/>
      </w:r>
      <w:r>
        <w:t>- 18 -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"_Toc518843418" </w:instrText>
      </w:r>
      <w:r>
        <w:fldChar w:fldCharType="separate"/>
      </w:r>
      <w:r>
        <w:rPr>
          <w:rStyle w:val="27"/>
          <w:color w:val="auto"/>
        </w:rPr>
        <w:t>3.1</w:t>
      </w:r>
      <w:r>
        <w:rPr>
          <w:rFonts w:asciiTheme="minorHAnsi" w:hAnsiTheme="minorHAnsi" w:eastAsiaTheme="minorEastAsia" w:cstheme="minorBidi"/>
          <w:sz w:val="21"/>
          <w:szCs w:val="22"/>
        </w:rPr>
        <w:tab/>
      </w:r>
      <w:r>
        <w:rPr>
          <w:rStyle w:val="27"/>
          <w:rFonts w:hint="eastAsia"/>
          <w:color w:val="auto"/>
        </w:rPr>
        <w:t>重大工程险情分析</w:t>
      </w:r>
      <w:r>
        <w:tab/>
      </w:r>
      <w:r>
        <w:fldChar w:fldCharType="begin"/>
      </w:r>
      <w:r>
        <w:instrText xml:space="preserve"> PAGEREF _Toc518843418 \h </w:instrText>
      </w:r>
      <w:r>
        <w:fldChar w:fldCharType="separate"/>
      </w:r>
      <w:r>
        <w:t>- 18 -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"_Toc518843419" </w:instrText>
      </w:r>
      <w:r>
        <w:fldChar w:fldCharType="separate"/>
      </w:r>
      <w:r>
        <w:rPr>
          <w:rStyle w:val="27"/>
          <w:color w:val="auto"/>
        </w:rPr>
        <w:t>3.2</w:t>
      </w:r>
      <w:r>
        <w:rPr>
          <w:rFonts w:asciiTheme="minorHAnsi" w:hAnsiTheme="minorHAnsi" w:eastAsiaTheme="minorEastAsia" w:cstheme="minorBidi"/>
          <w:sz w:val="21"/>
          <w:szCs w:val="22"/>
        </w:rPr>
        <w:tab/>
      </w:r>
      <w:r>
        <w:rPr>
          <w:rStyle w:val="27"/>
          <w:rFonts w:hint="eastAsia"/>
          <w:color w:val="auto"/>
        </w:rPr>
        <w:t>影响范围内有关情况</w:t>
      </w:r>
      <w:r>
        <w:tab/>
      </w:r>
      <w:r>
        <w:fldChar w:fldCharType="begin"/>
      </w:r>
      <w:r>
        <w:instrText xml:space="preserve"> PAGEREF _Toc518843419 \h </w:instrText>
      </w:r>
      <w:r>
        <w:fldChar w:fldCharType="separate"/>
      </w:r>
      <w:r>
        <w:t>- 20 -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"_Toc518843420" </w:instrText>
      </w:r>
      <w:r>
        <w:fldChar w:fldCharType="separate"/>
      </w:r>
      <w:r>
        <w:rPr>
          <w:rStyle w:val="27"/>
          <w:color w:val="auto"/>
        </w:rPr>
        <w:t>4</w:t>
      </w:r>
      <w:r>
        <w:rPr>
          <w:rFonts w:asciiTheme="minorHAnsi" w:hAnsiTheme="minorHAnsi" w:eastAsiaTheme="minorEastAsia" w:cstheme="minorBidi"/>
          <w:sz w:val="21"/>
          <w:szCs w:val="22"/>
        </w:rPr>
        <w:tab/>
      </w:r>
      <w:r>
        <w:rPr>
          <w:rStyle w:val="27"/>
          <w:rFonts w:hint="eastAsia"/>
          <w:color w:val="auto"/>
        </w:rPr>
        <w:t>险情监测与报告</w:t>
      </w:r>
      <w:r>
        <w:tab/>
      </w:r>
      <w:r>
        <w:fldChar w:fldCharType="begin"/>
      </w:r>
      <w:r>
        <w:instrText xml:space="preserve"> PAGEREF _Toc518843420 \h </w:instrText>
      </w:r>
      <w:r>
        <w:fldChar w:fldCharType="separate"/>
      </w:r>
      <w:r>
        <w:t>- 21 -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"_Toc518843421" </w:instrText>
      </w:r>
      <w:r>
        <w:fldChar w:fldCharType="separate"/>
      </w:r>
      <w:r>
        <w:rPr>
          <w:rStyle w:val="27"/>
          <w:color w:val="auto"/>
        </w:rPr>
        <w:t>4.1</w:t>
      </w:r>
      <w:r>
        <w:rPr>
          <w:rFonts w:asciiTheme="minorHAnsi" w:hAnsiTheme="minorHAnsi" w:eastAsiaTheme="minorEastAsia" w:cstheme="minorBidi"/>
          <w:sz w:val="21"/>
          <w:szCs w:val="22"/>
        </w:rPr>
        <w:tab/>
      </w:r>
      <w:r>
        <w:rPr>
          <w:rStyle w:val="27"/>
          <w:rFonts w:hint="eastAsia"/>
          <w:color w:val="auto"/>
        </w:rPr>
        <w:t>险情监测和巡查</w:t>
      </w:r>
      <w:r>
        <w:tab/>
      </w:r>
      <w:r>
        <w:fldChar w:fldCharType="begin"/>
      </w:r>
      <w:r>
        <w:instrText xml:space="preserve"> PAGEREF _Toc518843421 \h </w:instrText>
      </w:r>
      <w:r>
        <w:fldChar w:fldCharType="separate"/>
      </w:r>
      <w:r>
        <w:t>- 21 -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"_Toc518843422" </w:instrText>
      </w:r>
      <w:r>
        <w:fldChar w:fldCharType="separate"/>
      </w:r>
      <w:r>
        <w:rPr>
          <w:rStyle w:val="27"/>
          <w:color w:val="auto"/>
        </w:rPr>
        <w:t>4.2</w:t>
      </w:r>
      <w:r>
        <w:rPr>
          <w:rFonts w:asciiTheme="minorHAnsi" w:hAnsiTheme="minorHAnsi" w:eastAsiaTheme="minorEastAsia" w:cstheme="minorBidi"/>
          <w:sz w:val="21"/>
          <w:szCs w:val="22"/>
        </w:rPr>
        <w:tab/>
      </w:r>
      <w:r>
        <w:rPr>
          <w:rStyle w:val="27"/>
          <w:rFonts w:hint="eastAsia"/>
          <w:color w:val="auto"/>
        </w:rPr>
        <w:t>险情上报与通报</w:t>
      </w:r>
      <w:r>
        <w:tab/>
      </w:r>
      <w:r>
        <w:fldChar w:fldCharType="begin"/>
      </w:r>
      <w:r>
        <w:instrText xml:space="preserve"> PAGEREF _Toc518843422 \h </w:instrText>
      </w:r>
      <w:r>
        <w:fldChar w:fldCharType="separate"/>
      </w:r>
      <w:r>
        <w:t>- 22 -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"_Toc518843423" </w:instrText>
      </w:r>
      <w:r>
        <w:fldChar w:fldCharType="separate"/>
      </w:r>
      <w:r>
        <w:rPr>
          <w:rStyle w:val="27"/>
          <w:color w:val="auto"/>
        </w:rPr>
        <w:t>5</w:t>
      </w:r>
      <w:r>
        <w:rPr>
          <w:rFonts w:asciiTheme="minorHAnsi" w:hAnsiTheme="minorHAnsi" w:eastAsiaTheme="minorEastAsia" w:cstheme="minorBidi"/>
          <w:sz w:val="21"/>
          <w:szCs w:val="22"/>
        </w:rPr>
        <w:tab/>
      </w:r>
      <w:r>
        <w:rPr>
          <w:rStyle w:val="27"/>
          <w:rFonts w:hint="eastAsia"/>
          <w:color w:val="auto"/>
        </w:rPr>
        <w:t>险情抢护</w:t>
      </w:r>
      <w:r>
        <w:tab/>
      </w:r>
      <w:r>
        <w:fldChar w:fldCharType="begin"/>
      </w:r>
      <w:r>
        <w:instrText xml:space="preserve"> PAGEREF _Toc518843423 \h </w:instrText>
      </w:r>
      <w:r>
        <w:fldChar w:fldCharType="separate"/>
      </w:r>
      <w:r>
        <w:t>- 26 -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"_Toc518843424" </w:instrText>
      </w:r>
      <w:r>
        <w:fldChar w:fldCharType="separate"/>
      </w:r>
      <w:r>
        <w:rPr>
          <w:rStyle w:val="27"/>
          <w:color w:val="auto"/>
        </w:rPr>
        <w:t>5.1</w:t>
      </w:r>
      <w:r>
        <w:rPr>
          <w:rFonts w:asciiTheme="minorHAnsi" w:hAnsiTheme="minorHAnsi" w:eastAsiaTheme="minorEastAsia" w:cstheme="minorBidi"/>
          <w:sz w:val="21"/>
          <w:szCs w:val="22"/>
        </w:rPr>
        <w:tab/>
      </w:r>
      <w:r>
        <w:rPr>
          <w:rStyle w:val="27"/>
          <w:rFonts w:hint="eastAsia"/>
          <w:color w:val="auto"/>
        </w:rPr>
        <w:t>抢险调度</w:t>
      </w:r>
      <w:r>
        <w:tab/>
      </w:r>
      <w:r>
        <w:fldChar w:fldCharType="begin"/>
      </w:r>
      <w:r>
        <w:instrText xml:space="preserve"> PAGEREF _Toc518843424 \h </w:instrText>
      </w:r>
      <w:r>
        <w:fldChar w:fldCharType="separate"/>
      </w:r>
      <w:r>
        <w:t>- 26 -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"_Toc518843425" </w:instrText>
      </w:r>
      <w:r>
        <w:fldChar w:fldCharType="separate"/>
      </w:r>
      <w:r>
        <w:rPr>
          <w:rStyle w:val="27"/>
          <w:color w:val="auto"/>
        </w:rPr>
        <w:t>5.2</w:t>
      </w:r>
      <w:r>
        <w:rPr>
          <w:rFonts w:asciiTheme="minorHAnsi" w:hAnsiTheme="minorHAnsi" w:eastAsiaTheme="minorEastAsia" w:cstheme="minorBidi"/>
          <w:sz w:val="21"/>
          <w:szCs w:val="22"/>
        </w:rPr>
        <w:tab/>
      </w:r>
      <w:r>
        <w:rPr>
          <w:rStyle w:val="27"/>
          <w:rFonts w:hint="eastAsia"/>
          <w:color w:val="auto"/>
        </w:rPr>
        <w:t>抢险措施</w:t>
      </w:r>
      <w:r>
        <w:tab/>
      </w:r>
      <w:r>
        <w:fldChar w:fldCharType="begin"/>
      </w:r>
      <w:r>
        <w:instrText xml:space="preserve"> PAGEREF _Toc518843425 \h </w:instrText>
      </w:r>
      <w:r>
        <w:fldChar w:fldCharType="separate"/>
      </w:r>
      <w:r>
        <w:t>- 29 -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"_Toc518843426" </w:instrText>
      </w:r>
      <w:r>
        <w:fldChar w:fldCharType="separate"/>
      </w:r>
      <w:r>
        <w:rPr>
          <w:rStyle w:val="27"/>
          <w:color w:val="auto"/>
        </w:rPr>
        <w:t>5.3</w:t>
      </w:r>
      <w:r>
        <w:rPr>
          <w:rFonts w:asciiTheme="minorHAnsi" w:hAnsiTheme="minorHAnsi" w:eastAsiaTheme="minorEastAsia" w:cstheme="minorBidi"/>
          <w:sz w:val="21"/>
          <w:szCs w:val="22"/>
        </w:rPr>
        <w:tab/>
      </w:r>
      <w:r>
        <w:rPr>
          <w:rStyle w:val="27"/>
          <w:rFonts w:hint="eastAsia"/>
          <w:color w:val="auto"/>
        </w:rPr>
        <w:t>应急转移</w:t>
      </w:r>
      <w:r>
        <w:tab/>
      </w:r>
      <w:r>
        <w:fldChar w:fldCharType="begin"/>
      </w:r>
      <w:r>
        <w:instrText xml:space="preserve"> PAGEREF _Toc518843426 \h </w:instrText>
      </w:r>
      <w:r>
        <w:fldChar w:fldCharType="separate"/>
      </w:r>
      <w:r>
        <w:t>- 30 -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"_Toc518843427" </w:instrText>
      </w:r>
      <w:r>
        <w:fldChar w:fldCharType="separate"/>
      </w:r>
      <w:r>
        <w:rPr>
          <w:rStyle w:val="27"/>
          <w:color w:val="auto"/>
        </w:rPr>
        <w:t>6</w:t>
      </w:r>
      <w:r>
        <w:rPr>
          <w:rFonts w:asciiTheme="minorHAnsi" w:hAnsiTheme="minorHAnsi" w:eastAsiaTheme="minorEastAsia" w:cstheme="minorBidi"/>
          <w:sz w:val="21"/>
          <w:szCs w:val="22"/>
        </w:rPr>
        <w:tab/>
      </w:r>
      <w:r>
        <w:rPr>
          <w:rStyle w:val="27"/>
          <w:rFonts w:hint="eastAsia"/>
          <w:color w:val="auto"/>
        </w:rPr>
        <w:t>应急保障</w:t>
      </w:r>
      <w:r>
        <w:tab/>
      </w:r>
      <w:r>
        <w:fldChar w:fldCharType="begin"/>
      </w:r>
      <w:r>
        <w:instrText xml:space="preserve"> PAGEREF _Toc518843427 \h </w:instrText>
      </w:r>
      <w:r>
        <w:fldChar w:fldCharType="separate"/>
      </w:r>
      <w:r>
        <w:t>- 32 -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"_Toc518843428" </w:instrText>
      </w:r>
      <w:r>
        <w:fldChar w:fldCharType="separate"/>
      </w:r>
      <w:r>
        <w:rPr>
          <w:rStyle w:val="27"/>
          <w:color w:val="auto"/>
        </w:rPr>
        <w:t>6.1</w:t>
      </w:r>
      <w:r>
        <w:rPr>
          <w:rFonts w:asciiTheme="minorHAnsi" w:hAnsiTheme="minorHAnsi" w:eastAsiaTheme="minorEastAsia" w:cstheme="minorBidi"/>
          <w:sz w:val="21"/>
          <w:szCs w:val="22"/>
        </w:rPr>
        <w:tab/>
      </w:r>
      <w:r>
        <w:rPr>
          <w:rStyle w:val="27"/>
          <w:rFonts w:hint="eastAsia"/>
          <w:color w:val="auto"/>
        </w:rPr>
        <w:t>组织保障</w:t>
      </w:r>
      <w:r>
        <w:tab/>
      </w:r>
      <w:r>
        <w:fldChar w:fldCharType="begin"/>
      </w:r>
      <w:r>
        <w:instrText xml:space="preserve"> PAGEREF _Toc518843428 \h </w:instrText>
      </w:r>
      <w:r>
        <w:fldChar w:fldCharType="separate"/>
      </w:r>
      <w:r>
        <w:t>- 32 -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"_Toc518843429" </w:instrText>
      </w:r>
      <w:r>
        <w:fldChar w:fldCharType="separate"/>
      </w:r>
      <w:r>
        <w:rPr>
          <w:rStyle w:val="27"/>
          <w:color w:val="auto"/>
        </w:rPr>
        <w:t>6.2</w:t>
      </w:r>
      <w:r>
        <w:rPr>
          <w:rFonts w:asciiTheme="minorHAnsi" w:hAnsiTheme="minorHAnsi" w:eastAsiaTheme="minorEastAsia" w:cstheme="minorBidi"/>
          <w:sz w:val="21"/>
          <w:szCs w:val="22"/>
        </w:rPr>
        <w:tab/>
      </w:r>
      <w:r>
        <w:rPr>
          <w:rStyle w:val="27"/>
          <w:rFonts w:hint="eastAsia"/>
          <w:color w:val="auto"/>
        </w:rPr>
        <w:t>队伍保障</w:t>
      </w:r>
      <w:r>
        <w:tab/>
      </w:r>
      <w:r>
        <w:fldChar w:fldCharType="begin"/>
      </w:r>
      <w:r>
        <w:instrText xml:space="preserve"> PAGEREF _Toc518843429 \h </w:instrText>
      </w:r>
      <w:r>
        <w:fldChar w:fldCharType="separate"/>
      </w:r>
      <w:r>
        <w:t>- 32 -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"_Toc518843430" </w:instrText>
      </w:r>
      <w:r>
        <w:fldChar w:fldCharType="separate"/>
      </w:r>
      <w:r>
        <w:rPr>
          <w:rStyle w:val="27"/>
          <w:color w:val="auto"/>
        </w:rPr>
        <w:t>6.3</w:t>
      </w:r>
      <w:r>
        <w:rPr>
          <w:rFonts w:asciiTheme="minorHAnsi" w:hAnsiTheme="minorHAnsi" w:eastAsiaTheme="minorEastAsia" w:cstheme="minorBidi"/>
          <w:sz w:val="21"/>
          <w:szCs w:val="22"/>
        </w:rPr>
        <w:tab/>
      </w:r>
      <w:r>
        <w:rPr>
          <w:rStyle w:val="27"/>
          <w:rFonts w:hint="eastAsia"/>
          <w:color w:val="auto"/>
        </w:rPr>
        <w:t>物资保障</w:t>
      </w:r>
      <w:r>
        <w:tab/>
      </w:r>
      <w:r>
        <w:fldChar w:fldCharType="begin"/>
      </w:r>
      <w:r>
        <w:instrText xml:space="preserve"> PAGEREF _Toc518843430 \h </w:instrText>
      </w:r>
      <w:r>
        <w:fldChar w:fldCharType="separate"/>
      </w:r>
      <w:r>
        <w:t>- 32 -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"_Toc518843431" </w:instrText>
      </w:r>
      <w:r>
        <w:fldChar w:fldCharType="separate"/>
      </w:r>
      <w:r>
        <w:rPr>
          <w:rStyle w:val="27"/>
          <w:color w:val="auto"/>
        </w:rPr>
        <w:t>6.4</w:t>
      </w:r>
      <w:r>
        <w:rPr>
          <w:rFonts w:asciiTheme="minorHAnsi" w:hAnsiTheme="minorHAnsi" w:eastAsiaTheme="minorEastAsia" w:cstheme="minorBidi"/>
          <w:sz w:val="21"/>
          <w:szCs w:val="22"/>
        </w:rPr>
        <w:tab/>
      </w:r>
      <w:r>
        <w:rPr>
          <w:rStyle w:val="27"/>
          <w:rFonts w:hint="eastAsia"/>
          <w:color w:val="auto"/>
        </w:rPr>
        <w:t>通讯保障</w:t>
      </w:r>
      <w:r>
        <w:tab/>
      </w:r>
      <w:r>
        <w:fldChar w:fldCharType="begin"/>
      </w:r>
      <w:r>
        <w:instrText xml:space="preserve"> PAGEREF _Toc518843431 \h </w:instrText>
      </w:r>
      <w:r>
        <w:fldChar w:fldCharType="separate"/>
      </w:r>
      <w:r>
        <w:t>- 32 -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"_Toc518843432" </w:instrText>
      </w:r>
      <w:r>
        <w:fldChar w:fldCharType="separate"/>
      </w:r>
      <w:r>
        <w:rPr>
          <w:rStyle w:val="27"/>
          <w:color w:val="auto"/>
        </w:rPr>
        <w:t>6.5</w:t>
      </w:r>
      <w:r>
        <w:rPr>
          <w:rFonts w:asciiTheme="minorHAnsi" w:hAnsiTheme="minorHAnsi" w:eastAsiaTheme="minorEastAsia" w:cstheme="minorBidi"/>
          <w:sz w:val="21"/>
          <w:szCs w:val="22"/>
        </w:rPr>
        <w:tab/>
      </w:r>
      <w:r>
        <w:rPr>
          <w:rStyle w:val="27"/>
          <w:rFonts w:hint="eastAsia"/>
          <w:color w:val="auto"/>
        </w:rPr>
        <w:t>其它保障</w:t>
      </w:r>
      <w:r>
        <w:tab/>
      </w:r>
      <w:r>
        <w:fldChar w:fldCharType="begin"/>
      </w:r>
      <w:r>
        <w:instrText xml:space="preserve"> PAGEREF _Toc518843432 \h </w:instrText>
      </w:r>
      <w:r>
        <w:fldChar w:fldCharType="separate"/>
      </w:r>
      <w:r>
        <w:t>- 33 -</w:t>
      </w:r>
      <w:r>
        <w:fldChar w:fldCharType="end"/>
      </w:r>
      <w:r>
        <w:fldChar w:fldCharType="end"/>
      </w:r>
    </w:p>
    <w:p>
      <w:pPr>
        <w:pStyle w:val="22"/>
        <w:tabs>
          <w:tab w:val="left" w:pos="84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"_Toc518843433" </w:instrText>
      </w:r>
      <w:r>
        <w:fldChar w:fldCharType="separate"/>
      </w:r>
      <w:r>
        <w:rPr>
          <w:rStyle w:val="27"/>
          <w:color w:val="auto"/>
        </w:rPr>
        <w:t>7</w:t>
      </w:r>
      <w:r>
        <w:rPr>
          <w:rFonts w:asciiTheme="minorHAnsi" w:hAnsiTheme="minorHAnsi" w:eastAsiaTheme="minorEastAsia" w:cstheme="minorBidi"/>
          <w:sz w:val="21"/>
          <w:szCs w:val="22"/>
        </w:rPr>
        <w:tab/>
      </w:r>
      <w:r>
        <w:rPr>
          <w:rStyle w:val="27"/>
          <w:rFonts w:hint="eastAsia"/>
          <w:color w:val="auto"/>
        </w:rPr>
        <w:t>《应急预案》启动与结束</w:t>
      </w:r>
      <w:r>
        <w:tab/>
      </w:r>
      <w:r>
        <w:fldChar w:fldCharType="begin"/>
      </w:r>
      <w:r>
        <w:instrText xml:space="preserve"> PAGEREF _Toc518843433 \h </w:instrText>
      </w:r>
      <w:r>
        <w:fldChar w:fldCharType="separate"/>
      </w:r>
      <w:r>
        <w:t>- 35 -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"_Toc518843434" </w:instrText>
      </w:r>
      <w:r>
        <w:fldChar w:fldCharType="separate"/>
      </w:r>
      <w:r>
        <w:rPr>
          <w:rStyle w:val="27"/>
          <w:color w:val="auto"/>
        </w:rPr>
        <w:t>7.1</w:t>
      </w:r>
      <w:r>
        <w:rPr>
          <w:rFonts w:asciiTheme="minorHAnsi" w:hAnsiTheme="minorHAnsi" w:eastAsiaTheme="minorEastAsia" w:cstheme="minorBidi"/>
          <w:sz w:val="21"/>
          <w:szCs w:val="22"/>
        </w:rPr>
        <w:tab/>
      </w:r>
      <w:r>
        <w:rPr>
          <w:rStyle w:val="27"/>
          <w:rFonts w:hint="eastAsia"/>
          <w:color w:val="auto"/>
        </w:rPr>
        <w:t>启动与结束条件</w:t>
      </w:r>
      <w:r>
        <w:tab/>
      </w:r>
      <w:r>
        <w:fldChar w:fldCharType="begin"/>
      </w:r>
      <w:r>
        <w:instrText xml:space="preserve"> PAGEREF _Toc518843434 \h </w:instrText>
      </w:r>
      <w:r>
        <w:fldChar w:fldCharType="separate"/>
      </w:r>
      <w:r>
        <w:t>- 35 -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"_Toc518843435" </w:instrText>
      </w:r>
      <w:r>
        <w:fldChar w:fldCharType="separate"/>
      </w:r>
      <w:r>
        <w:rPr>
          <w:rStyle w:val="27"/>
          <w:color w:val="auto"/>
        </w:rPr>
        <w:t>7.2</w:t>
      </w:r>
      <w:r>
        <w:rPr>
          <w:rFonts w:asciiTheme="minorHAnsi" w:hAnsiTheme="minorHAnsi" w:eastAsiaTheme="minorEastAsia" w:cstheme="minorBidi"/>
          <w:sz w:val="21"/>
          <w:szCs w:val="22"/>
        </w:rPr>
        <w:tab/>
      </w:r>
      <w:r>
        <w:rPr>
          <w:rStyle w:val="27"/>
          <w:rFonts w:hint="eastAsia"/>
          <w:color w:val="auto"/>
        </w:rPr>
        <w:t>决策机构与程序</w:t>
      </w:r>
      <w:r>
        <w:tab/>
      </w:r>
      <w:r>
        <w:fldChar w:fldCharType="begin"/>
      </w:r>
      <w:r>
        <w:instrText xml:space="preserve"> PAGEREF _Toc518843435 \h </w:instrText>
      </w:r>
      <w:r>
        <w:fldChar w:fldCharType="separate"/>
      </w:r>
      <w:r>
        <w:t>- 35 -</w:t>
      </w:r>
      <w:r>
        <w:fldChar w:fldCharType="end"/>
      </w:r>
      <w:r>
        <w:fldChar w:fldCharType="end"/>
      </w:r>
    </w:p>
    <w:p>
      <w:pPr>
        <w:pStyle w:val="22"/>
        <w:tabs>
          <w:tab w:val="left" w:pos="1050"/>
          <w:tab w:val="right" w:leader="dot" w:pos="8494"/>
        </w:tabs>
        <w:ind w:firstLine="480"/>
        <w:rPr>
          <w:rFonts w:asciiTheme="minorHAnsi" w:hAnsiTheme="minorHAnsi" w:eastAsiaTheme="minorEastAsia" w:cstheme="minorBidi"/>
          <w:sz w:val="21"/>
          <w:szCs w:val="22"/>
        </w:rPr>
      </w:pPr>
      <w:r>
        <w:fldChar w:fldCharType="begin"/>
      </w:r>
      <w:r>
        <w:instrText xml:space="preserve"> HYPERLINK \l "_Toc518843436" </w:instrText>
      </w:r>
      <w:r>
        <w:fldChar w:fldCharType="separate"/>
      </w:r>
      <w:r>
        <w:rPr>
          <w:rStyle w:val="27"/>
          <w:color w:val="auto"/>
        </w:rPr>
        <w:t>8</w:t>
      </w:r>
      <w:r>
        <w:rPr>
          <w:rFonts w:asciiTheme="minorHAnsi" w:hAnsiTheme="minorHAnsi" w:eastAsiaTheme="minorEastAsia" w:cstheme="minorBidi"/>
          <w:sz w:val="21"/>
          <w:szCs w:val="22"/>
        </w:rPr>
        <w:tab/>
      </w:r>
      <w:r>
        <w:rPr>
          <w:rStyle w:val="27"/>
          <w:rFonts w:hint="eastAsia"/>
          <w:color w:val="auto"/>
        </w:rPr>
        <w:t>附件</w:t>
      </w:r>
      <w:r>
        <w:tab/>
      </w:r>
      <w:r>
        <w:fldChar w:fldCharType="begin"/>
      </w:r>
      <w:r>
        <w:instrText xml:space="preserve"> PAGEREF _Toc518843436 \h </w:instrText>
      </w:r>
      <w:r>
        <w:fldChar w:fldCharType="separate"/>
      </w:r>
      <w:r>
        <w:t>- 36 -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"_Toc518843437" </w:instrText>
      </w:r>
      <w:r>
        <w:fldChar w:fldCharType="separate"/>
      </w:r>
      <w:r>
        <w:rPr>
          <w:rStyle w:val="27"/>
          <w:color w:val="auto"/>
        </w:rPr>
        <w:t>8.1</w:t>
      </w:r>
      <w:r>
        <w:rPr>
          <w:rFonts w:asciiTheme="minorHAnsi" w:hAnsiTheme="minorHAnsi" w:eastAsiaTheme="minorEastAsia" w:cstheme="minorBidi"/>
          <w:sz w:val="21"/>
          <w:szCs w:val="22"/>
        </w:rPr>
        <w:tab/>
      </w:r>
      <w:r>
        <w:rPr>
          <w:rStyle w:val="27"/>
          <w:rFonts w:hint="eastAsia"/>
          <w:color w:val="auto"/>
        </w:rPr>
        <w:t>附表</w:t>
      </w:r>
      <w:r>
        <w:tab/>
      </w:r>
      <w:r>
        <w:fldChar w:fldCharType="begin"/>
      </w:r>
      <w:r>
        <w:instrText xml:space="preserve"> PAGEREF _Toc518843437 \h </w:instrText>
      </w:r>
      <w:r>
        <w:fldChar w:fldCharType="separate"/>
      </w:r>
      <w:r>
        <w:t>- 36 -</w:t>
      </w:r>
      <w:r>
        <w:fldChar w:fldCharType="end"/>
      </w:r>
      <w:r>
        <w:fldChar w:fldCharType="end"/>
      </w:r>
    </w:p>
    <w:p>
      <w:pPr>
        <w:pStyle w:val="23"/>
        <w:tabs>
          <w:tab w:val="left" w:pos="1680"/>
          <w:tab w:val="right" w:leader="dot" w:pos="8494"/>
        </w:tabs>
        <w:ind w:left="480" w:firstLine="480"/>
        <w:rPr>
          <w:rFonts w:asciiTheme="minorHAnsi" w:hAnsiTheme="minorHAnsi" w:eastAsiaTheme="minorEastAsia" w:cstheme="minorBidi"/>
          <w:sz w:val="21"/>
          <w:szCs w:val="22"/>
        </w:rPr>
      </w:pPr>
      <w:r>
        <w:fldChar w:fldCharType="begin"/>
      </w:r>
      <w:r>
        <w:instrText xml:space="preserve"> HYPERLINK \l "_Toc518843438" </w:instrText>
      </w:r>
      <w:r>
        <w:fldChar w:fldCharType="separate"/>
      </w:r>
      <w:r>
        <w:rPr>
          <w:rStyle w:val="27"/>
          <w:color w:val="auto"/>
        </w:rPr>
        <w:t>8.2</w:t>
      </w:r>
      <w:r>
        <w:rPr>
          <w:rFonts w:asciiTheme="minorHAnsi" w:hAnsiTheme="minorHAnsi" w:eastAsiaTheme="minorEastAsia" w:cstheme="minorBidi"/>
          <w:sz w:val="21"/>
          <w:szCs w:val="22"/>
        </w:rPr>
        <w:tab/>
      </w:r>
      <w:r>
        <w:rPr>
          <w:rStyle w:val="27"/>
          <w:rFonts w:hint="eastAsia"/>
          <w:color w:val="auto"/>
        </w:rPr>
        <w:t>附图</w:t>
      </w:r>
      <w:r>
        <w:tab/>
      </w:r>
      <w:r>
        <w:fldChar w:fldCharType="begin"/>
      </w:r>
      <w:r>
        <w:instrText xml:space="preserve"> PAGEREF _Toc518843438 \h </w:instrText>
      </w:r>
      <w:r>
        <w:fldChar w:fldCharType="separate"/>
      </w:r>
      <w:r>
        <w:t>- 36 -</w:t>
      </w:r>
      <w:r>
        <w:fldChar w:fldCharType="end"/>
      </w:r>
      <w:r>
        <w:fldChar w:fldCharType="end"/>
      </w:r>
    </w:p>
    <w:p>
      <w:pPr>
        <w:ind w:firstLine="480"/>
        <w:sectPr>
          <w:headerReference r:id="rId13" w:type="first"/>
          <w:footerReference r:id="rId16" w:type="first"/>
          <w:headerReference r:id="rId11" w:type="default"/>
          <w:footerReference r:id="rId14" w:type="default"/>
          <w:headerReference r:id="rId12" w:type="even"/>
          <w:footerReference r:id="rId15" w:type="even"/>
          <w:pgSz w:w="11906" w:h="16838"/>
          <w:pgMar w:top="1474" w:right="1701" w:bottom="1474" w:left="1701" w:header="851" w:footer="992" w:gutter="0"/>
          <w:pgNumType w:fmt="upperRoman" w:start="1"/>
          <w:cols w:space="720" w:num="1"/>
          <w:docGrid w:type="lines" w:linePitch="330" w:charSpace="0"/>
        </w:sectPr>
      </w:pPr>
      <w:r>
        <w:rPr>
          <w:rFonts w:hint="eastAsia"/>
        </w:rPr>
        <w:fldChar w:fldCharType="end"/>
      </w:r>
    </w:p>
    <w:p>
      <w:pPr>
        <w:pStyle w:val="2"/>
        <w:spacing w:before="165" w:after="165"/>
      </w:pPr>
      <w:bookmarkStart w:id="2" w:name="_Toc518843405"/>
      <w:r>
        <w:rPr>
          <w:rFonts w:hint="eastAsia"/>
        </w:rPr>
        <w:t>总则</w:t>
      </w:r>
      <w:bookmarkEnd w:id="2"/>
    </w:p>
    <w:p>
      <w:pPr>
        <w:pStyle w:val="3"/>
        <w:spacing w:before="165" w:after="165"/>
        <w:jc w:val="both"/>
      </w:pPr>
      <w:bookmarkStart w:id="3" w:name="_Toc518843406"/>
      <w:r>
        <w:rPr>
          <w:rFonts w:hint="eastAsia"/>
        </w:rPr>
        <w:t>编制目的</w:t>
      </w:r>
      <w:bookmarkEnd w:id="3"/>
    </w:p>
    <w:p>
      <w:pPr>
        <w:ind w:firstLine="480"/>
      </w:pPr>
      <w:r>
        <w:rPr>
          <w:rFonts w:hint="eastAsia"/>
        </w:rPr>
        <w:t>为了防御和减轻洪水灾害，做到有准备、有计划、有组织地调度水库和预防灾害，根据东道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Pr>
          <w:rFonts w:hint="eastAsia" w:ascii="宋体" w:hAnsi="宋体"/>
          <w:szCs w:val="28"/>
        </w:rPr>
        <w:t>特编制本预案。</w:t>
      </w:r>
    </w:p>
    <w:p>
      <w:pPr>
        <w:ind w:firstLine="480"/>
      </w:pPr>
      <w:r>
        <w:rPr>
          <w:rFonts w:hint="eastAsia"/>
        </w:rPr>
        <w:t>编制《东道水库防洪应急预案》是针对因突发事件导致东道水库面临重大险情威胁，影响水库防汛安全，为了有效防止和减轻灾害损失，保证水库安全而预先制定的科学合理、可操作性强的抢险救灾应急预案。</w:t>
      </w:r>
    </w:p>
    <w:p>
      <w:pPr>
        <w:pStyle w:val="3"/>
        <w:spacing w:before="165" w:after="165"/>
      </w:pPr>
      <w:bookmarkStart w:id="4" w:name="_Toc518843407"/>
      <w:r>
        <w:rPr>
          <w:rFonts w:hint="eastAsia"/>
        </w:rPr>
        <w:t>编制依据</w:t>
      </w:r>
      <w:bookmarkEnd w:id="4"/>
    </w:p>
    <w:p>
      <w:pPr>
        <w:ind w:firstLine="480"/>
      </w:pPr>
      <w:r>
        <w:rPr>
          <w:rFonts w:hint="eastAsia"/>
        </w:rPr>
        <w:t>法律法规：</w:t>
      </w:r>
    </w:p>
    <w:p>
      <w:pPr>
        <w:ind w:firstLine="480"/>
      </w:pPr>
      <w:r>
        <w:rPr>
          <w:rFonts w:hint="eastAsia"/>
        </w:rPr>
        <w:t>《中华人民共和国水法》(2016年7月2日修订)；</w:t>
      </w:r>
    </w:p>
    <w:p>
      <w:pPr>
        <w:ind w:firstLine="480"/>
      </w:pPr>
      <w:r>
        <w:rPr>
          <w:rFonts w:hint="eastAsia"/>
        </w:rPr>
        <w:t>《中华人民共和国防洪法》（2016年7月2日修订）；</w:t>
      </w:r>
    </w:p>
    <w:p>
      <w:pPr>
        <w:ind w:firstLine="480"/>
      </w:pPr>
      <w:r>
        <w:rPr>
          <w:rFonts w:hint="eastAsia"/>
        </w:rPr>
        <w:t>《中华人民共和国防汛条例》（2005年7月15日修订）；</w:t>
      </w:r>
    </w:p>
    <w:p>
      <w:pPr>
        <w:ind w:firstLine="480"/>
      </w:pPr>
      <w:r>
        <w:rPr>
          <w:rFonts w:hint="eastAsia"/>
        </w:rPr>
        <w:t>《中华人民共和国河道管理条例》（2017年10月07日修订）；</w:t>
      </w:r>
    </w:p>
    <w:p>
      <w:pPr>
        <w:ind w:firstLine="480"/>
      </w:pPr>
      <w:r>
        <w:rPr>
          <w:rFonts w:hint="eastAsia"/>
        </w:rPr>
        <w:t>《国家突发公共事件总体应急预案》（2006年1月8日发布并实施）；</w:t>
      </w:r>
    </w:p>
    <w:p>
      <w:pPr>
        <w:ind w:firstLine="480"/>
      </w:pPr>
      <w:r>
        <w:rPr>
          <w:rFonts w:hint="eastAsia"/>
        </w:rPr>
        <w:t>《水库大坝安全管理条例》（2011年1月8日修订）；</w:t>
      </w:r>
    </w:p>
    <w:p>
      <w:pPr>
        <w:ind w:firstLine="480"/>
      </w:pPr>
      <w:r>
        <w:rPr>
          <w:rFonts w:hint="eastAsia"/>
        </w:rPr>
        <w:t>《水库防洪应急预案编制大纲》办海﹝2006﹞9号；</w:t>
      </w:r>
    </w:p>
    <w:p>
      <w:pPr>
        <w:ind w:firstLine="480"/>
      </w:pPr>
      <w:r>
        <w:rPr>
          <w:rFonts w:hint="eastAsia"/>
        </w:rPr>
        <w:t>《山东省实施&lt;中华人民共和国防洪法&gt;办法》（2010年修订）；</w:t>
      </w:r>
    </w:p>
    <w:p>
      <w:pPr>
        <w:ind w:firstLine="480"/>
      </w:pPr>
      <w:r>
        <w:rPr>
          <w:rFonts w:hint="eastAsia"/>
        </w:rPr>
        <w:t>《山东省实施&lt;中华人民共和国防汛条例&gt;办法》（1996年1月3日山东省人民政府第64号令发布）；</w:t>
      </w:r>
    </w:p>
    <w:p>
      <w:pPr>
        <w:ind w:firstLine="480"/>
      </w:pPr>
      <w:r>
        <w:rPr>
          <w:rFonts w:hint="eastAsia"/>
        </w:rPr>
        <w:t>水利部《防汛抗旱突发险情灾情报告管理暂行规定》（国汛[2006]2号）；</w:t>
      </w:r>
    </w:p>
    <w:p>
      <w:pPr>
        <w:ind w:firstLine="480"/>
      </w:pPr>
      <w:r>
        <w:rPr>
          <w:rFonts w:hint="eastAsia"/>
        </w:rPr>
        <w:t>《山东省实施&lt;水库大坝安全管理条例&gt;办法》（2018年2月11日）</w:t>
      </w:r>
    </w:p>
    <w:p>
      <w:pPr>
        <w:ind w:firstLine="480"/>
      </w:pPr>
      <w:r>
        <w:rPr>
          <w:rFonts w:hint="eastAsia"/>
        </w:rPr>
        <w:t>设计资料：</w:t>
      </w:r>
    </w:p>
    <w:p>
      <w:pPr>
        <w:ind w:firstLine="480"/>
      </w:pPr>
      <w:r>
        <w:rPr>
          <w:rFonts w:hint="eastAsia"/>
        </w:rPr>
        <w:t>《第一次全国水利普查山东省水利工程基本情况普查数据资料汇编》水库工程分册（2013年）</w:t>
      </w:r>
    </w:p>
    <w:p>
      <w:pPr>
        <w:ind w:firstLine="480"/>
      </w:pPr>
      <w:r>
        <w:rPr>
          <w:rFonts w:hint="eastAsia"/>
        </w:rPr>
        <w:t>《第一次全国水利普查山东省河湖基本情况普查数据资料汇编》（2013年）</w:t>
      </w:r>
    </w:p>
    <w:p>
      <w:pPr>
        <w:ind w:firstLine="480"/>
      </w:pPr>
      <w:r>
        <w:rPr>
          <w:rFonts w:hint="eastAsia"/>
        </w:rPr>
        <w:t>《淄博市人民政府防汛抗旱总指挥部办公室关于做好2018年度防汛抗旱预案修订工作的通知》淄汛旱总办﹝2018﹞3号</w:t>
      </w:r>
    </w:p>
    <w:p>
      <w:pPr>
        <w:pStyle w:val="3"/>
        <w:spacing w:before="165" w:after="165"/>
      </w:pPr>
      <w:bookmarkStart w:id="5" w:name="_Toc518843408"/>
      <w:r>
        <w:rPr>
          <w:rFonts w:hint="eastAsia"/>
        </w:rPr>
        <w:t>工作原则</w:t>
      </w:r>
      <w:bookmarkEnd w:id="5"/>
    </w:p>
    <w:p>
      <w:pPr>
        <w:ind w:firstLine="480"/>
      </w:pPr>
      <w:r>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pPr>
        <w:pStyle w:val="3"/>
        <w:spacing w:before="165" w:after="165"/>
      </w:pPr>
      <w:bookmarkStart w:id="6" w:name="_Toc518843409"/>
      <w:r>
        <w:rPr>
          <w:rFonts w:hint="eastAsia"/>
        </w:rPr>
        <w:t>适用范围</w:t>
      </w:r>
      <w:bookmarkEnd w:id="6"/>
    </w:p>
    <w:p>
      <w:pPr>
        <w:ind w:firstLine="480"/>
      </w:pPr>
      <w:r>
        <w:rPr>
          <w:rFonts w:hint="eastAsia"/>
        </w:rPr>
        <w:t>东道水库枢纽工程因以下因素导致的一切险情：</w:t>
      </w:r>
    </w:p>
    <w:p>
      <w:pPr>
        <w:pStyle w:val="4"/>
        <w:spacing w:before="165" w:after="165" w:line="560" w:lineRule="exact"/>
        <w:rPr>
          <w:rFonts w:ascii="宋体" w:hAnsi="宋体"/>
          <w:bCs/>
          <w:szCs w:val="28"/>
        </w:rPr>
      </w:pPr>
      <w:r>
        <w:rPr>
          <w:rFonts w:hint="eastAsia" w:ascii="宋体" w:hAnsi="宋体"/>
          <w:bCs/>
          <w:szCs w:val="28"/>
        </w:rPr>
        <w:t>超标准洪水</w:t>
      </w:r>
    </w:p>
    <w:p>
      <w:pPr>
        <w:ind w:firstLine="480"/>
      </w:pPr>
      <w:r>
        <w:rPr>
          <w:rFonts w:hint="eastAsia"/>
        </w:rPr>
        <w:t>因工程除险加固竣工完成后未经过高水位和大洪水的考验，根据工程实际情况，经调洪演算，防洪高水位超过96.44m的洪水。</w:t>
      </w:r>
    </w:p>
    <w:p>
      <w:pPr>
        <w:pStyle w:val="4"/>
        <w:spacing w:before="165" w:after="165" w:line="560" w:lineRule="exact"/>
        <w:rPr>
          <w:rFonts w:ascii="宋体" w:hAnsi="宋体"/>
          <w:bCs/>
          <w:szCs w:val="28"/>
        </w:rPr>
      </w:pPr>
      <w:r>
        <w:rPr>
          <w:rFonts w:hint="eastAsia" w:ascii="宋体" w:hAnsi="宋体"/>
          <w:bCs/>
          <w:szCs w:val="28"/>
        </w:rPr>
        <w:t>工程隐患</w:t>
      </w:r>
    </w:p>
    <w:p>
      <w:pPr>
        <w:ind w:firstLine="480"/>
      </w:pPr>
      <w:r>
        <w:rPr>
          <w:rFonts w:hint="eastAsia"/>
        </w:rPr>
        <w:t>溢洪道、大坝设计标准低，一旦遇到特大洪水，对大坝、溢洪道等工程和下游人民群众造成直接威胁。</w:t>
      </w:r>
    </w:p>
    <w:p>
      <w:pPr>
        <w:pStyle w:val="4"/>
        <w:spacing w:before="165" w:after="165" w:line="560" w:lineRule="exact"/>
        <w:rPr>
          <w:rFonts w:ascii="宋体" w:hAnsi="宋体"/>
          <w:bCs/>
          <w:szCs w:val="28"/>
        </w:rPr>
      </w:pPr>
      <w:r>
        <w:rPr>
          <w:rFonts w:hint="eastAsia" w:ascii="宋体" w:hAnsi="宋体"/>
          <w:bCs/>
          <w:szCs w:val="28"/>
        </w:rPr>
        <w:t xml:space="preserve">地震灾害 </w:t>
      </w:r>
    </w:p>
    <w:p>
      <w:pPr>
        <w:ind w:firstLine="480"/>
      </w:pPr>
      <w:r>
        <w:rPr>
          <w:rFonts w:hint="eastAsia"/>
        </w:rPr>
        <w:t>地震作用下水库大坝、溢洪道等枢纽建筑物发生失稳、结构破坏及其他影响枢纽工程安全运用的险情。</w:t>
      </w:r>
    </w:p>
    <w:p>
      <w:pPr>
        <w:pStyle w:val="4"/>
        <w:spacing w:before="165" w:after="165" w:line="560" w:lineRule="exact"/>
        <w:rPr>
          <w:rFonts w:ascii="宋体" w:hAnsi="宋体"/>
          <w:bCs/>
          <w:szCs w:val="28"/>
        </w:rPr>
      </w:pPr>
      <w:r>
        <w:rPr>
          <w:rFonts w:hint="eastAsia" w:ascii="宋体" w:hAnsi="宋体"/>
          <w:bCs/>
          <w:szCs w:val="28"/>
        </w:rPr>
        <w:t>地质灾害</w:t>
      </w:r>
    </w:p>
    <w:p>
      <w:pPr>
        <w:ind w:firstLine="480"/>
      </w:pPr>
      <w:r>
        <w:rPr>
          <w:rFonts w:hint="eastAsia"/>
        </w:rPr>
        <w:t>发生对枢纽工程安全造成影响的滑坡、崩塌及泥石流等。</w:t>
      </w:r>
    </w:p>
    <w:p>
      <w:pPr>
        <w:pStyle w:val="4"/>
        <w:spacing w:before="165" w:after="165" w:line="560" w:lineRule="exact"/>
        <w:rPr>
          <w:rFonts w:ascii="宋体" w:hAnsi="宋体"/>
          <w:bCs/>
          <w:szCs w:val="28"/>
        </w:rPr>
      </w:pPr>
      <w:r>
        <w:rPr>
          <w:rFonts w:hint="eastAsia" w:ascii="宋体" w:hAnsi="宋体"/>
          <w:bCs/>
          <w:szCs w:val="28"/>
        </w:rPr>
        <w:t>上游水库溃坝</w:t>
      </w:r>
    </w:p>
    <w:p>
      <w:pPr>
        <w:ind w:firstLine="480"/>
      </w:pPr>
      <w:r>
        <w:rPr>
          <w:rFonts w:hint="eastAsia"/>
        </w:rPr>
        <w:t>指水库上游的水库、塘坝发生溃坝事件。</w:t>
      </w:r>
    </w:p>
    <w:p>
      <w:pPr>
        <w:pStyle w:val="4"/>
        <w:spacing w:before="165" w:after="165" w:line="560" w:lineRule="exact"/>
        <w:rPr>
          <w:rFonts w:ascii="宋体" w:hAnsi="宋体"/>
          <w:bCs/>
          <w:szCs w:val="28"/>
        </w:rPr>
      </w:pPr>
      <w:r>
        <w:rPr>
          <w:rFonts w:hint="eastAsia" w:ascii="宋体" w:hAnsi="宋体"/>
          <w:bCs/>
          <w:szCs w:val="28"/>
        </w:rPr>
        <w:t>上游大体积漂移物的撞击事件</w:t>
      </w:r>
    </w:p>
    <w:p>
      <w:pPr>
        <w:ind w:firstLine="480"/>
      </w:pPr>
      <w:r>
        <w:rPr>
          <w:rFonts w:hint="eastAsia"/>
        </w:rPr>
        <w:t>山洪爆发、大风浪及上游水库、塘坝溃坝或其他原因引起的大体积漂移物撞击坝前护坡、溢洪道等事件。</w:t>
      </w:r>
    </w:p>
    <w:p>
      <w:pPr>
        <w:pStyle w:val="4"/>
        <w:spacing w:before="165" w:after="165" w:line="560" w:lineRule="exact"/>
        <w:rPr>
          <w:rFonts w:ascii="宋体" w:hAnsi="宋体"/>
          <w:bCs/>
          <w:szCs w:val="28"/>
        </w:rPr>
      </w:pPr>
      <w:r>
        <w:rPr>
          <w:rFonts w:hint="eastAsia" w:ascii="宋体" w:hAnsi="宋体"/>
          <w:bCs/>
          <w:szCs w:val="28"/>
        </w:rPr>
        <w:t>战争或恐怖事件</w:t>
      </w:r>
    </w:p>
    <w:p>
      <w:pPr>
        <w:ind w:firstLine="480"/>
      </w:pPr>
      <w:r>
        <w:rPr>
          <w:rFonts w:hint="eastAsia"/>
        </w:rPr>
        <w:t>指战争或恐怖袭击，造成水库枢纽工程、通讯、电力和交通设施破坏，及其他影响防洪安全的事件。</w:t>
      </w:r>
    </w:p>
    <w:p>
      <w:pPr>
        <w:pStyle w:val="4"/>
        <w:spacing w:before="165" w:after="165" w:line="560" w:lineRule="exact"/>
        <w:rPr>
          <w:rFonts w:ascii="宋体" w:hAnsi="宋体"/>
          <w:bCs/>
          <w:szCs w:val="28"/>
        </w:rPr>
      </w:pPr>
      <w:r>
        <w:rPr>
          <w:rFonts w:hint="eastAsia" w:ascii="宋体" w:hAnsi="宋体"/>
          <w:bCs/>
          <w:szCs w:val="28"/>
        </w:rPr>
        <w:t>其它</w:t>
      </w:r>
    </w:p>
    <w:p>
      <w:pPr>
        <w:ind w:firstLine="480"/>
      </w:pPr>
      <w:r>
        <w:rPr>
          <w:rFonts w:hint="eastAsia"/>
        </w:rPr>
        <w:t>指遭遇大风、雷击等突发事件。</w:t>
      </w:r>
    </w:p>
    <w:p>
      <w:pPr>
        <w:pStyle w:val="2"/>
        <w:spacing w:before="165" w:after="165"/>
      </w:pPr>
      <w:bookmarkStart w:id="7" w:name="_Toc518843410"/>
      <w:r>
        <w:rPr>
          <w:rFonts w:hint="eastAsia"/>
        </w:rPr>
        <w:t>工程概况</w:t>
      </w:r>
      <w:bookmarkEnd w:id="7"/>
    </w:p>
    <w:p>
      <w:pPr>
        <w:pStyle w:val="3"/>
        <w:spacing w:before="165" w:after="165"/>
      </w:pPr>
      <w:bookmarkStart w:id="8" w:name="_Toc518843411"/>
      <w:r>
        <w:rPr>
          <w:rFonts w:hint="eastAsia"/>
        </w:rPr>
        <w:t>流域概况</w:t>
      </w:r>
      <w:bookmarkEnd w:id="8"/>
    </w:p>
    <w:p>
      <w:pPr>
        <w:pStyle w:val="4"/>
        <w:spacing w:before="165" w:after="165"/>
      </w:pPr>
      <w:r>
        <w:rPr>
          <w:rFonts w:hint="eastAsia"/>
        </w:rPr>
        <w:t>自然地理概况</w:t>
      </w:r>
    </w:p>
    <w:p>
      <w:pPr>
        <w:ind w:firstLine="480"/>
      </w:pPr>
      <w:r>
        <w:rPr>
          <w:rFonts w:hint="eastAsia"/>
        </w:rPr>
        <w:t>东道水库位于周村区王村镇东道开村，范阳河支流上游，属孝妇河水系。东道水库流域为扇形低山丘陵区，间有部分山间平原，海拔高程在100~260m。流域面积为4.2km</w:t>
      </w:r>
      <w:r>
        <w:rPr>
          <w:rFonts w:hint="eastAsia"/>
          <w:vertAlign w:val="superscript"/>
        </w:rPr>
        <w:t>2</w:t>
      </w:r>
      <w:r>
        <w:rPr>
          <w:rFonts w:hint="eastAsia"/>
        </w:rPr>
        <w:t>，干流长度为3.7km，干流平均比降0.018。设计水库总库容为15.5万m</w:t>
      </w:r>
      <w:r>
        <w:rPr>
          <w:rFonts w:hint="eastAsia"/>
          <w:vertAlign w:val="superscript"/>
        </w:rPr>
        <w:t>3</w:t>
      </w:r>
      <w:r>
        <w:rPr>
          <w:rFonts w:hint="eastAsia"/>
        </w:rPr>
        <w:t>，兴利库容4.5万m</w:t>
      </w:r>
      <w:r>
        <w:rPr>
          <w:rFonts w:hint="eastAsia"/>
          <w:vertAlign w:val="superscript"/>
        </w:rPr>
        <w:t>3</w:t>
      </w:r>
      <w:r>
        <w:rPr>
          <w:rFonts w:hint="eastAsia"/>
        </w:rPr>
        <w:t>，设计洪水标准为20年一遇，校核洪水标准200年一遇，是一座以防洪、灌溉为主，兼做水产养殖等综合利用的小（2）型水库。</w:t>
      </w:r>
    </w:p>
    <w:p>
      <w:pPr>
        <w:ind w:firstLine="480"/>
      </w:pPr>
      <w:r>
        <w:rPr>
          <w:rFonts w:hint="eastAsia"/>
        </w:rPr>
        <w:t>东道水库于1967年兴建。水库枢纽包括大坝、溢洪道两部分。水库大坝为均质壤土坝，坝顶高程97.0m，最大坝高8.44m，坝长206.50m，宽7m，建有0.8m防浪墙。上游坝面坡比为1：1.7。下游坝面坡比为1：3.0。溢洪道位于大坝的左岸，结构形式为开敞式，溢洪道宽8m。</w:t>
      </w:r>
    </w:p>
    <w:p>
      <w:pPr>
        <w:keepNext/>
        <w:ind w:firstLine="480"/>
        <w:jc w:val="center"/>
      </w:pPr>
      <w:r>
        <w:pict>
          <v:shape id="AutoShape 5" o:spid="_x0000_s1026" o:spt="61" type="#_x0000_t61" style="position:absolute;left:0pt;margin-left:131.3pt;margin-top:197.85pt;height:23.6pt;width:63.1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" adj="32253,22185">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东道水库</w:t>
                  </w:r>
                </w:p>
              </w:txbxContent>
            </v:textbox>
          </v:shape>
        </w:pict>
      </w:r>
      <w:r>
        <w:pict>
          <v:shape id="AutoShape 6" o:spid="_x0000_s1055" o:spt="32" type="#_x0000_t32" style="position:absolute;left:0pt;flip:y;margin-left:196.25pt;margin-top:157.35pt;height:21.75pt;width:10.9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path arrowok="t"/>
            <v:fill on="f" focussize="0,0"/>
            <v:stroke endarrow="block"/>
            <v:imagedata o:title=""/>
            <o:lock v:ext="edit"/>
          </v:shape>
        </w:pict>
      </w:r>
      <w:r>
        <w:pict>
          <v:shape id="AutoShape 7" o:spid="_x0000_s1054" o:spt="32" type="#_x0000_t32" style="position:absolute;left:0pt;flip:x y;margin-left:233.1pt;margin-top:10.8pt;height:19.3pt;width:7.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path arrowok="t"/>
            <v:fill on="f" focussize="0,0"/>
            <v:stroke endarrow="block"/>
            <v:imagedata o:title=""/>
            <o:lock v:ext="edit"/>
          </v:shape>
        </w:pict>
      </w:r>
      <w:r>
        <w:drawing>
          <wp:inline distT="0" distB="0" distL="0" distR="0">
            <wp:extent cx="4029075" cy="3914775"/>
            <wp:effectExtent l="0" t="0" r="9525" b="9525"/>
            <wp:docPr id="1" name="图片 1" descr="流域水系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流域水系图"/>
                    <pic:cNvPicPr>
                      <a:picLocks noChangeAspect="true" noChangeArrowheads="true"/>
                    </pic:cNvPicPr>
                  </pic:nvPicPr>
                  <pic:blipFill>
                    <a:blip r:embed="rId20" cstate="print">
                      <a:extLst>
                        <a:ext uri="{28A0092B-C50C-407E-A947-70E740481C1C}">
                          <a14:useLocalDpi xmlns:a14="http://schemas.microsoft.com/office/drawing/2010/main" val="false"/>
                        </a:ext>
                      </a:extLst>
                    </a:blip>
                    <a:srcRect t="10054"/>
                    <a:stretch>
                      <a:fillRect/>
                    </a:stretch>
                  </pic:blipFill>
                  <pic:spPr>
                    <a:xfrm>
                      <a:off x="0" y="0"/>
                      <a:ext cx="4031036" cy="3916680"/>
                    </a:xfrm>
                    <a:prstGeom prst="rect">
                      <a:avLst/>
                    </a:prstGeom>
                    <a:noFill/>
                    <a:ln>
                      <a:noFill/>
                    </a:ln>
                  </pic:spPr>
                </pic:pic>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2.1</w:t>
      </w:r>
      <w:r>
        <w:fldChar w:fldCharType="end"/>
      </w:r>
      <w:r>
        <w:noBreakHyphen/>
      </w:r>
      <w:r>
        <w:fldChar w:fldCharType="begin"/>
      </w:r>
      <w:r>
        <w:rPr>
          <w:rFonts w:hint="eastAsia"/>
        </w:rPr>
        <w:instrText xml:space="preserve">SEQ 图 \* ARABIC \s 2</w:instrText>
      </w:r>
      <w:r>
        <w:fldChar w:fldCharType="separate"/>
      </w:r>
      <w:r>
        <w:t>1</w:t>
      </w:r>
      <w:r>
        <w:fldChar w:fldCharType="end"/>
      </w:r>
      <w:r>
        <w:rPr>
          <w:rFonts w:hint="eastAsia"/>
        </w:rPr>
        <w:t>流域水系图</w:t>
      </w:r>
    </w:p>
    <w:p>
      <w:pPr>
        <w:pStyle w:val="4"/>
        <w:spacing w:before="165" w:after="165"/>
      </w:pPr>
      <w:r>
        <w:rPr>
          <w:rFonts w:hint="eastAsia"/>
        </w:rPr>
        <w:t>水文气象概况</w:t>
      </w:r>
    </w:p>
    <w:p>
      <w:pPr>
        <w:ind w:firstLine="480"/>
      </w:pPr>
      <w:r>
        <w:rPr>
          <w:rFonts w:hint="eastAsia"/>
        </w:rPr>
        <w:t>工程所属周村区地处暖温带，属半湿润、半干旱的大陆性季风型气候区，四季特征分明，冬季寒冷干燥，少雨雪；春季少雨千旱，年平均气温为13.1℃，年平均相对湿度为63%，霜冻期自11月中旬至翌年2月底止，历时约120天，最大冻土深度小于0.5m。</w:t>
      </w:r>
    </w:p>
    <w:p>
      <w:pPr>
        <w:ind w:firstLine="480"/>
      </w:pPr>
      <w:r>
        <w:rPr>
          <w:rFonts w:hint="eastAsia"/>
        </w:rPr>
        <w:t>降水：大气降水是孝妇河流域地表水及地下水的补给源，年际变化较大，年最大降水量为1454.1 mm，年最小降水量242.2mm。夏季(6~8月份)降水量最丰富，占全年降水量的50%以上；冬季(12 ~2月份)降水量最少，只占全年降水量的4%左右；春秋季分别为年降水量的14%和20%左右，稳定性较差。</w:t>
      </w:r>
    </w:p>
    <w:p>
      <w:pPr>
        <w:ind w:firstLine="480"/>
      </w:pPr>
      <w:r>
        <w:rPr>
          <w:rFonts w:hint="eastAsia"/>
        </w:rPr>
        <w:t>蒸发：流域内陆上水面蒸发量一般在1250~1400之间，多年陆上水面蒸发量为1319mm，蒸发量年际变化不大，最大最小变幅为11%左右。蒸发量在年内变化较大，一年中7~10月份蒸发量占全年的50%，11月至翌年的2月仅占全年蒸发量的15%。</w:t>
      </w:r>
    </w:p>
    <w:p>
      <w:pPr>
        <w:ind w:firstLine="480"/>
      </w:pPr>
      <w:r>
        <w:rPr>
          <w:rFonts w:hint="eastAsia"/>
        </w:rPr>
        <w:t>风向：主要风向为西南风，夏季多西南风，冬季多西北风，年平均风速3.3m/s。</w:t>
      </w:r>
    </w:p>
    <w:p>
      <w:pPr>
        <w:pStyle w:val="4"/>
        <w:spacing w:before="165" w:after="165"/>
      </w:pPr>
      <w:r>
        <w:rPr>
          <w:rFonts w:hint="eastAsia"/>
        </w:rPr>
        <w:t>流域内水利工程建设情况</w:t>
      </w:r>
    </w:p>
    <w:p>
      <w:pPr>
        <w:ind w:firstLine="480"/>
      </w:pPr>
      <w:r>
        <w:rPr>
          <w:rFonts w:hint="eastAsia"/>
        </w:rPr>
        <w:t>流域内未统计到水利工程。</w:t>
      </w:r>
    </w:p>
    <w:p>
      <w:pPr>
        <w:pStyle w:val="3"/>
        <w:spacing w:before="165" w:after="165"/>
      </w:pPr>
      <w:bookmarkStart w:id="9" w:name="_Toc518843412"/>
      <w:r>
        <w:rPr>
          <w:rFonts w:hint="eastAsia"/>
        </w:rPr>
        <w:t>工程基本情况</w:t>
      </w:r>
      <w:bookmarkEnd w:id="9"/>
    </w:p>
    <w:p>
      <w:pPr>
        <w:pStyle w:val="4"/>
        <w:spacing w:before="165" w:after="165"/>
      </w:pPr>
      <w:r>
        <w:rPr>
          <w:rFonts w:hint="eastAsia"/>
        </w:rPr>
        <w:t>水库工程基本情况</w:t>
      </w:r>
    </w:p>
    <w:p>
      <w:pPr>
        <w:ind w:firstLine="480"/>
      </w:pPr>
      <w:r>
        <w:rPr>
          <w:rFonts w:hint="eastAsia"/>
        </w:rPr>
        <w:t>1、工程规模：东道水库位于周村区王村镇东道开村，范阳河支流上游，属孝妇河水系。东道水库流域为扇形低山丘陵区，间有部分山间平原，海拔高程在80~700m。流域面积为4.2km</w:t>
      </w:r>
      <w:r>
        <w:rPr>
          <w:rFonts w:hint="eastAsia"/>
          <w:vertAlign w:val="superscript"/>
        </w:rPr>
        <w:t>2</w:t>
      </w:r>
      <w:r>
        <w:rPr>
          <w:rFonts w:hint="eastAsia"/>
        </w:rPr>
        <w:t>，干流长度为3.7km，干流平均比降0.018。设计水库总库容为15.5万m</w:t>
      </w:r>
      <w:r>
        <w:rPr>
          <w:rFonts w:hint="eastAsia"/>
          <w:vertAlign w:val="superscript"/>
        </w:rPr>
        <w:t>3</w:t>
      </w:r>
      <w:r>
        <w:rPr>
          <w:rFonts w:hint="eastAsia"/>
        </w:rPr>
        <w:t>，兴利库容4.5万m</w:t>
      </w:r>
      <w:r>
        <w:rPr>
          <w:rFonts w:hint="eastAsia"/>
          <w:vertAlign w:val="superscript"/>
        </w:rPr>
        <w:t>3</w:t>
      </w:r>
      <w:r>
        <w:rPr>
          <w:rFonts w:hint="eastAsia"/>
        </w:rPr>
        <w:t>，设计洪水标准为20年一遇，校核洪水标准200年一遇，是一座以防洪、灌溉为主，兼做水产养殖等综合利用的小（2）型水库。</w:t>
      </w:r>
    </w:p>
    <w:p>
      <w:pPr>
        <w:ind w:firstLine="480"/>
      </w:pPr>
      <w:r>
        <w:rPr>
          <w:rFonts w:hint="eastAsia"/>
        </w:rPr>
        <w:t>2、工程等别：根据《水利水电工程等级划分及洪水标准》（</w:t>
      </w:r>
      <w:r>
        <w:t>SL252-2017</w:t>
      </w:r>
      <w:r>
        <w:rPr>
          <w:rFonts w:hint="eastAsia"/>
        </w:rPr>
        <w:t>），属小（</w:t>
      </w:r>
      <w:r>
        <w:t>2</w:t>
      </w:r>
      <w:r>
        <w:rPr>
          <w:rFonts w:hint="eastAsia"/>
        </w:rPr>
        <w:t>）型水库，工程等别为Ⅴ等；大坝、溢洪道等建筑物级别为5级。</w:t>
      </w:r>
    </w:p>
    <w:p>
      <w:pPr>
        <w:ind w:firstLine="480"/>
      </w:pPr>
      <w:r>
        <w:rPr>
          <w:rFonts w:hint="eastAsia"/>
        </w:rPr>
        <w:t>3、防洪标准：执行国家标准《防洪标准》（GB50201-2014），设计洪水标准为20年一遇（P=5.0﹪），校核洪水标准为200年一遇（P=0.5﹪）。</w:t>
      </w:r>
    </w:p>
    <w:p>
      <w:pPr>
        <w:ind w:firstLine="480"/>
      </w:pPr>
      <w:r>
        <w:rPr>
          <w:rFonts w:hint="eastAsia"/>
        </w:rPr>
        <w:t>4、地震设防烈度：根据《中国地震动参数区划图》（GB18306-2001），地震动峰值加速度为0.10g，地震动反应谱特征周期为0.40s，相应地震基本烈度为Ⅶ度。</w:t>
      </w:r>
    </w:p>
    <w:p>
      <w:pPr>
        <w:ind w:firstLine="480"/>
      </w:pPr>
      <w:r>
        <w:rPr>
          <w:rFonts w:hint="eastAsia"/>
        </w:rPr>
        <w:t>5、水库于1958年6月建成，现状枢纽工程包括大坝、溢洪道等两部分。</w:t>
      </w:r>
    </w:p>
    <w:p>
      <w:pPr>
        <w:ind w:firstLine="480"/>
      </w:pPr>
      <w:r>
        <w:rPr>
          <w:rFonts w:hint="eastAsia"/>
        </w:rPr>
        <w:t>溢流坝：水库大坝为均质壤土坝，坝顶高程97.0m，最大坝高8.44m，坝长206.50m，宽7m，建有0.8米防浪墙。上游坝面坡比为1： 1.7，下游坝面坡比为1： 3.0。</w:t>
      </w:r>
    </w:p>
    <w:p>
      <w:pPr>
        <w:ind w:firstLine="480"/>
      </w:pPr>
      <w:r>
        <w:rPr>
          <w:rFonts w:hint="eastAsia"/>
        </w:rPr>
        <w:t>溢洪道：溢洪道位于大坝的左岸，结构形式为开敞式，溢洪道宽12米。</w:t>
      </w:r>
    </w:p>
    <w:p>
      <w:pPr>
        <w:ind w:firstLine="480"/>
        <w:jc w:val="center"/>
      </w:pPr>
      <w:r>
        <w:pict>
          <v:shape id="_x0000_s1027" o:spid="_x0000_s1027" o:spt="61" type="#_x0000_t61" style="position:absolute;left:0pt;margin-left:106.95pt;margin-top:141.9pt;height:23.6pt;width:63.1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" adj="33108,20355">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东道水库</w:t>
                  </w:r>
                </w:p>
              </w:txbxContent>
            </v:textbox>
          </v:shape>
        </w:pict>
      </w:r>
      <w:r>
        <w:drawing>
          <wp:inline distT="0" distB="0" distL="0" distR="0">
            <wp:extent cx="4543425" cy="3379470"/>
            <wp:effectExtent l="0" t="0" r="9525"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21">
                      <a:grayscl/>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4552588" cy="3385987"/>
                    </a:xfrm>
                    <a:prstGeom prst="rect">
                      <a:avLst/>
                    </a:prstGeom>
                    <a:noFill/>
                    <a:ln>
                      <a:noFill/>
                    </a:ln>
                  </pic:spPr>
                </pic:pic>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2.2</w:t>
      </w:r>
      <w:r>
        <w:fldChar w:fldCharType="end"/>
      </w:r>
      <w:r>
        <w:noBreakHyphen/>
      </w:r>
      <w:r>
        <w:fldChar w:fldCharType="begin"/>
      </w:r>
      <w:r>
        <w:rPr>
          <w:rFonts w:hint="eastAsia"/>
        </w:rPr>
        <w:instrText xml:space="preserve">SEQ 图 \* ARABIC \s 2</w:instrText>
      </w:r>
      <w:r>
        <w:fldChar w:fldCharType="separate"/>
      </w:r>
      <w:r>
        <w:t>1</w:t>
      </w:r>
      <w:r>
        <w:fldChar w:fldCharType="end"/>
      </w:r>
      <w:r>
        <w:rPr>
          <w:rFonts w:hint="eastAsia"/>
        </w:rPr>
        <w:t>东道水库工程位置图</w:t>
      </w:r>
    </w:p>
    <w:p>
      <w:pPr>
        <w:pStyle w:val="4"/>
        <w:pageBreakBefore/>
        <w:spacing w:before="165" w:after="165"/>
      </w:pPr>
      <w:r>
        <w:rPr>
          <w:rFonts w:hint="eastAsia"/>
        </w:rPr>
        <w:t>工程特性表</w:t>
      </w:r>
    </w:p>
    <w:p>
      <w:pPr>
        <w:pStyle w:val="12"/>
      </w:pPr>
      <w:r>
        <w:rPr>
          <w:rFonts w:hint="eastAsia"/>
        </w:rPr>
        <w:t>表</w:t>
      </w:r>
      <w:r>
        <w:fldChar w:fldCharType="begin"/>
      </w:r>
      <w:r>
        <w:rPr>
          <w:rFonts w:hint="eastAsia"/>
        </w:rPr>
        <w:instrText xml:space="preserve">STYLEREF 2 \s</w:instrText>
      </w:r>
      <w:r>
        <w:fldChar w:fldCharType="separate"/>
      </w:r>
      <w:r>
        <w:t>2.2</w:t>
      </w:r>
      <w:r>
        <w:fldChar w:fldCharType="end"/>
      </w:r>
      <w:r>
        <w:noBreakHyphen/>
      </w:r>
      <w:r>
        <w:fldChar w:fldCharType="begin"/>
      </w:r>
      <w:r>
        <w:rPr>
          <w:rFonts w:hint="eastAsia"/>
        </w:rPr>
        <w:instrText xml:space="preserve">SEQ 表 \* ARABIC \s 2</w:instrText>
      </w:r>
      <w:r>
        <w:fldChar w:fldCharType="separate"/>
      </w:r>
      <w:r>
        <w:t>1</w:t>
      </w:r>
      <w:r>
        <w:fldChar w:fldCharType="end"/>
      </w:r>
      <w:r>
        <w:rPr>
          <w:rFonts w:hint="eastAsia"/>
        </w:rPr>
        <w:t>水库工程技术特性表</w:t>
      </w:r>
    </w:p>
    <w:tbl>
      <w:tblPr>
        <w:tblStyle w:val="24"/>
        <w:tblW w:w="8380" w:type="dxa"/>
        <w:jc w:val="center"/>
        <w:tblLayout w:type="autofit"/>
        <w:tblCellMar>
          <w:top w:w="0" w:type="dxa"/>
          <w:left w:w="108" w:type="dxa"/>
          <w:bottom w:w="0" w:type="dxa"/>
          <w:right w:w="108" w:type="dxa"/>
        </w:tblCellMar>
      </w:tblPr>
      <w:tblGrid>
        <w:gridCol w:w="396"/>
        <w:gridCol w:w="2187"/>
        <w:gridCol w:w="1694"/>
        <w:gridCol w:w="579"/>
        <w:gridCol w:w="1752"/>
        <w:gridCol w:w="1772"/>
      </w:tblGrid>
      <w:tr>
        <w:tblPrEx>
          <w:tblCellMar>
            <w:top w:w="0" w:type="dxa"/>
            <w:left w:w="108" w:type="dxa"/>
            <w:bottom w:w="0" w:type="dxa"/>
            <w:right w:w="108" w:type="dxa"/>
          </w:tblCellMar>
        </w:tblPrEx>
        <w:trPr>
          <w:trHeight w:val="285" w:hRule="atLeast"/>
          <w:jc w:val="center"/>
        </w:trPr>
        <w:tc>
          <w:tcPr>
            <w:tcW w:w="258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360" w:firstLineChars="0"/>
              <w:jc w:val="center"/>
              <w:rPr>
                <w:kern w:val="0"/>
                <w:sz w:val="18"/>
                <w:szCs w:val="18"/>
              </w:rPr>
            </w:pPr>
            <w:r>
              <w:rPr>
                <w:kern w:val="0"/>
                <w:sz w:val="18"/>
                <w:szCs w:val="18"/>
              </w:rPr>
              <w:t>水库名称</w:t>
            </w:r>
          </w:p>
        </w:tc>
        <w:tc>
          <w:tcPr>
            <w:tcW w:w="1694" w:type="dxa"/>
            <w:tcBorders>
              <w:top w:val="single" w:color="auto"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东道水库</w:t>
            </w:r>
          </w:p>
        </w:tc>
        <w:tc>
          <w:tcPr>
            <w:tcW w:w="579"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主坝</w:t>
            </w:r>
          </w:p>
        </w:tc>
        <w:tc>
          <w:tcPr>
            <w:tcW w:w="1752" w:type="dxa"/>
            <w:tcBorders>
              <w:top w:val="single" w:color="auto"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坝型</w:t>
            </w:r>
          </w:p>
        </w:tc>
        <w:tc>
          <w:tcPr>
            <w:tcW w:w="1772" w:type="dxa"/>
            <w:tcBorders>
              <w:top w:val="single" w:color="auto" w:sz="8" w:space="0"/>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均质壤土坝</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建设地点</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东道村</w:t>
            </w:r>
            <w:r>
              <w:rPr>
                <w:rFonts w:hint="eastAsia"/>
                <w:kern w:val="0"/>
                <w:sz w:val="18"/>
                <w:szCs w:val="18"/>
              </w:rPr>
              <w:t>东</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97.0</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所在河流</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范阳</w:t>
            </w:r>
            <w:r>
              <w:rPr>
                <w:kern w:val="0"/>
                <w:sz w:val="18"/>
                <w:szCs w:val="18"/>
              </w:rPr>
              <w:t>河</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最大坝高(m)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8.44</w:t>
            </w: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流域面积(km</w:t>
            </w:r>
            <w:r>
              <w:rPr>
                <w:kern w:val="0"/>
                <w:sz w:val="18"/>
                <w:szCs w:val="18"/>
                <w:vertAlign w:val="superscript"/>
              </w:rPr>
              <w:t>2</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4.2</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坝顶长度(m)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206.5</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管理单位名称</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王村镇政府</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坝顶宽度(m)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主管单位名称</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周村区水务局</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坝基地质(m)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竣工日期</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19</w:t>
            </w:r>
            <w:r>
              <w:rPr>
                <w:rFonts w:hint="eastAsia"/>
                <w:kern w:val="0"/>
                <w:sz w:val="18"/>
                <w:szCs w:val="18"/>
              </w:rPr>
              <w:t>67</w:t>
            </w:r>
            <w:r>
              <w:rPr>
                <w:kern w:val="0"/>
                <w:sz w:val="18"/>
                <w:szCs w:val="18"/>
              </w:rPr>
              <w:t>年</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坝基防渗措施(m)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工程等别</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小(</w:t>
            </w:r>
            <w:r>
              <w:rPr>
                <w:rFonts w:hint="eastAsia"/>
                <w:kern w:val="0"/>
                <w:sz w:val="18"/>
                <w:szCs w:val="18"/>
              </w:rPr>
              <w:t>2</w:t>
            </w:r>
            <w:r>
              <w:rPr>
                <w:kern w:val="0"/>
                <w:sz w:val="18"/>
                <w:szCs w:val="18"/>
              </w:rPr>
              <w:t>)型</w:t>
            </w:r>
          </w:p>
        </w:tc>
        <w:tc>
          <w:tcPr>
            <w:tcW w:w="579" w:type="dxa"/>
            <w:vMerge w:val="continue"/>
            <w:tcBorders>
              <w:top w:val="single" w:color="auto" w:sz="8" w:space="0"/>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防浪墙顶高程(m)</w:t>
            </w:r>
          </w:p>
        </w:tc>
        <w:tc>
          <w:tcPr>
            <w:tcW w:w="1772"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地震基本烈度/抗震设计烈度</w:t>
            </w:r>
          </w:p>
        </w:tc>
        <w:tc>
          <w:tcPr>
            <w:tcW w:w="1694"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Ⅶ</w:t>
            </w:r>
          </w:p>
        </w:tc>
        <w:tc>
          <w:tcPr>
            <w:tcW w:w="579"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副坝</w:t>
            </w:r>
          </w:p>
        </w:tc>
        <w:tc>
          <w:tcPr>
            <w:tcW w:w="1752"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坝型(m)</w:t>
            </w:r>
          </w:p>
        </w:tc>
        <w:tc>
          <w:tcPr>
            <w:tcW w:w="1772" w:type="dxa"/>
            <w:tcBorders>
              <w:top w:val="single" w:color="auto" w:sz="4" w:space="0"/>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多年平均降水量</w:t>
            </w:r>
          </w:p>
        </w:tc>
        <w:tc>
          <w:tcPr>
            <w:tcW w:w="1694"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645.5</w:t>
            </w:r>
            <w:r>
              <w:rPr>
                <w:kern w:val="0"/>
                <w:sz w:val="18"/>
                <w:szCs w:val="18"/>
              </w:rPr>
              <w:t>mm</w:t>
            </w:r>
          </w:p>
        </w:tc>
        <w:tc>
          <w:tcPr>
            <w:tcW w:w="579"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坝顶高程(m)</w:t>
            </w:r>
          </w:p>
        </w:tc>
        <w:tc>
          <w:tcPr>
            <w:tcW w:w="1772" w:type="dxa"/>
            <w:tcBorders>
              <w:top w:val="single" w:color="000000" w:sz="8" w:space="0"/>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blPrEx>
          <w:tblCellMar>
            <w:top w:w="0" w:type="dxa"/>
            <w:left w:w="108" w:type="dxa"/>
            <w:bottom w:w="0" w:type="dxa"/>
            <w:right w:w="108" w:type="dxa"/>
          </w:tblCellMar>
        </w:tblPrEx>
        <w:trPr>
          <w:trHeight w:val="285" w:hRule="atLeast"/>
          <w:jc w:val="center"/>
        </w:trPr>
        <w:tc>
          <w:tcPr>
            <w:tcW w:w="396"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设计</w:t>
            </w: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洪水标准(%)</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5</w:t>
            </w:r>
            <w:r>
              <w:rPr>
                <w:kern w:val="0"/>
                <w:sz w:val="18"/>
                <w:szCs w:val="18"/>
              </w:rPr>
              <w:t>%</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坝顶长度(m)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洪峰流量(m</w:t>
            </w:r>
            <w:r>
              <w:rPr>
                <w:kern w:val="0"/>
                <w:sz w:val="18"/>
                <w:szCs w:val="18"/>
                <w:vertAlign w:val="superscript"/>
              </w:rPr>
              <w:t>3</w:t>
            </w:r>
            <w:r>
              <w:rPr>
                <w:kern w:val="0"/>
                <w:sz w:val="18"/>
                <w:szCs w:val="18"/>
              </w:rPr>
              <w:t>/s)</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36.2</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坝顶宽度(m)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3日洪量(m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正常溢洪道</w:t>
            </w: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矩形开敞式（无闸）</w:t>
            </w:r>
          </w:p>
        </w:tc>
      </w:tr>
      <w:tr>
        <w:tblPrEx>
          <w:tblCellMar>
            <w:top w:w="0" w:type="dxa"/>
            <w:left w:w="108" w:type="dxa"/>
            <w:bottom w:w="0" w:type="dxa"/>
            <w:right w:w="108" w:type="dxa"/>
          </w:tblCellMar>
        </w:tblPrEx>
        <w:trPr>
          <w:trHeight w:val="285" w:hRule="atLeast"/>
          <w:jc w:val="center"/>
        </w:trPr>
        <w:tc>
          <w:tcPr>
            <w:tcW w:w="396"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校核</w:t>
            </w: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洪水标准(%)</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0.5</w:t>
            </w:r>
            <w:r>
              <w:rPr>
                <w:kern w:val="0"/>
                <w:sz w:val="18"/>
                <w:szCs w:val="18"/>
              </w:rPr>
              <w:t>%</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w:t>
            </w: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洪峰流量(m</w:t>
            </w:r>
            <w:r>
              <w:rPr>
                <w:kern w:val="0"/>
                <w:sz w:val="18"/>
                <w:szCs w:val="18"/>
                <w:vertAlign w:val="superscript"/>
              </w:rPr>
              <w:t>3</w:t>
            </w:r>
            <w:r>
              <w:rPr>
                <w:kern w:val="0"/>
                <w:sz w:val="18"/>
                <w:szCs w:val="18"/>
              </w:rPr>
              <w:t>/s)</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70.1</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堰顶净宽(m)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12</w:t>
            </w:r>
          </w:p>
        </w:tc>
      </w:tr>
      <w:tr>
        <w:trPr>
          <w:trHeight w:val="285" w:hRule="atLeast"/>
          <w:jc w:val="center"/>
        </w:trPr>
        <w:tc>
          <w:tcPr>
            <w:tcW w:w="396" w:type="dxa"/>
            <w:vMerge w:val="continue"/>
            <w:tcBorders>
              <w:top w:val="nil"/>
              <w:left w:val="single" w:color="auto"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3日洪量(m</w:t>
            </w:r>
            <w:r>
              <w:rPr>
                <w:kern w:val="0"/>
                <w:sz w:val="18"/>
                <w:szCs w:val="18"/>
                <w:vertAlign w:val="superscript"/>
              </w:rPr>
              <w:t>3</w:t>
            </w:r>
            <w:r>
              <w:rPr>
                <w:kern w:val="0"/>
                <w:sz w:val="18"/>
                <w:szCs w:val="18"/>
              </w:rPr>
              <w:t>)</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闸门型式</w:t>
            </w:r>
          </w:p>
        </w:tc>
        <w:tc>
          <w:tcPr>
            <w:tcW w:w="1772"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restart"/>
            <w:tcBorders>
              <w:top w:val="single" w:color="auto" w:sz="4"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水库特征</w:t>
            </w:r>
          </w:p>
        </w:tc>
        <w:tc>
          <w:tcPr>
            <w:tcW w:w="2187"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水库调节特性</w:t>
            </w:r>
          </w:p>
        </w:tc>
        <w:tc>
          <w:tcPr>
            <w:tcW w:w="1694"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年</w:t>
            </w:r>
          </w:p>
        </w:tc>
        <w:tc>
          <w:tcPr>
            <w:tcW w:w="579" w:type="dxa"/>
            <w:vMerge w:val="continue"/>
            <w:tcBorders>
              <w:top w:val="single" w:color="auto" w:sz="4"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闸门尺寸</w:t>
            </w:r>
          </w:p>
        </w:tc>
        <w:tc>
          <w:tcPr>
            <w:tcW w:w="1772" w:type="dxa"/>
            <w:tcBorders>
              <w:top w:val="single" w:color="auto" w:sz="4" w:space="0"/>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校核洪水位(m)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96.44</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最大泄量(m</w:t>
            </w:r>
            <w:r>
              <w:rPr>
                <w:kern w:val="0"/>
                <w:sz w:val="18"/>
                <w:szCs w:val="18"/>
                <w:vertAlign w:val="superscript"/>
              </w:rPr>
              <w:t>3</w:t>
            </w:r>
            <w:r>
              <w:rPr>
                <w:kern w:val="0"/>
                <w:sz w:val="18"/>
                <w:szCs w:val="18"/>
              </w:rPr>
              <w:t>/s)</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3.5</w:t>
            </w: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设计洪水位(m)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96.01</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消能型式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无</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正常蓄水位(m)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94.15</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启闭设备</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汛限水位(m)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94.15</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非常溢洪道</w:t>
            </w: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死水位(m)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总库容(m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15.5</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堰顶净宽(m)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调洪库容(m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7.00</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最大泄量(m</w:t>
            </w:r>
            <w:r>
              <w:rPr>
                <w:kern w:val="0"/>
                <w:sz w:val="18"/>
                <w:szCs w:val="18"/>
                <w:vertAlign w:val="superscript"/>
              </w:rPr>
              <w:t>3</w:t>
            </w:r>
            <w:r>
              <w:rPr>
                <w:kern w:val="0"/>
                <w:sz w:val="18"/>
                <w:szCs w:val="18"/>
              </w:rPr>
              <w:t>/s)</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兴利库容(m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4.50</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消能型式</w:t>
            </w:r>
          </w:p>
        </w:tc>
        <w:tc>
          <w:tcPr>
            <w:tcW w:w="177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死库容(m</w:t>
            </w:r>
            <w:r>
              <w:rPr>
                <w:kern w:val="0"/>
                <w:sz w:val="18"/>
                <w:szCs w:val="18"/>
                <w:vertAlign w:val="superscript"/>
              </w:rPr>
              <w:t>3</w:t>
            </w:r>
            <w:r>
              <w:rPr>
                <w:kern w:val="0"/>
                <w:sz w:val="18"/>
                <w:szCs w:val="18"/>
              </w:rPr>
              <w:t>)</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72"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70" w:hRule="atLeast"/>
          <w:jc w:val="center"/>
        </w:trPr>
        <w:tc>
          <w:tcPr>
            <w:tcW w:w="396" w:type="dxa"/>
            <w:vMerge w:val="restart"/>
            <w:tcBorders>
              <w:top w:val="single" w:color="auto" w:sz="4"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工程运行</w:t>
            </w:r>
          </w:p>
        </w:tc>
        <w:tc>
          <w:tcPr>
            <w:tcW w:w="2187" w:type="dxa"/>
            <w:tcBorders>
              <w:top w:val="single" w:color="auto" w:sz="4" w:space="0"/>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历史最高库水位(m)</w:t>
            </w:r>
          </w:p>
        </w:tc>
        <w:tc>
          <w:tcPr>
            <w:tcW w:w="1694"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其他泄洪措施</w:t>
            </w:r>
          </w:p>
        </w:tc>
        <w:tc>
          <w:tcPr>
            <w:tcW w:w="352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70"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历史最大入库水位(m)</w:t>
            </w:r>
          </w:p>
        </w:tc>
        <w:tc>
          <w:tcPr>
            <w:tcW w:w="169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70"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历史最大出库水位(m)</w:t>
            </w:r>
          </w:p>
        </w:tc>
        <w:tc>
          <w:tcPr>
            <w:tcW w:w="169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备注</w:t>
            </w:r>
          </w:p>
        </w:tc>
        <w:tc>
          <w:tcPr>
            <w:tcW w:w="352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bl>
    <w:p>
      <w:pPr>
        <w:pStyle w:val="4"/>
        <w:spacing w:before="165" w:after="165"/>
      </w:pPr>
      <w:r>
        <w:rPr>
          <w:rFonts w:hint="eastAsia"/>
        </w:rPr>
        <w:t>泄流、库容曲线</w:t>
      </w:r>
    </w:p>
    <w:p>
      <w:pPr>
        <w:ind w:firstLine="480"/>
        <w:rPr>
          <w:rFonts w:eastAsiaTheme="minorEastAsia"/>
        </w:rPr>
      </w:pPr>
      <m:oMathPara>
        <m:oMath>
          <m:r>
            <m:rPr/>
            <w:rPr>
              <w:rFonts w:ascii="Cambria Math" w:hAnsi="Cambria Math" w:eastAsia="Cambria Math"/>
            </w:rPr>
            <m:t>Q=</m:t>
          </m:r>
          <m:sSub>
            <m:sSubPr>
              <m:ctrlPr>
                <w:rPr>
                  <w:rFonts w:ascii="Cambria Math" w:hAnsi="Cambria Math" w:eastAsia="Cambria Math"/>
                  <w:i/>
                </w:rPr>
              </m:ctrlPr>
            </m:sSubPr>
            <m:e>
              <m:r>
                <m:rPr/>
                <w:rPr>
                  <w:rFonts w:ascii="Cambria Math" w:hAnsi="Cambria Math" w:eastAsia="Cambria Math"/>
                </w:rPr>
                <m:t>σ</m:t>
              </m:r>
              <m:ctrlPr>
                <w:rPr>
                  <w:rFonts w:ascii="Cambria Math" w:hAnsi="Cambria Math" w:eastAsia="Cambria Math"/>
                  <w:i/>
                </w:rPr>
              </m:ctrlPr>
            </m:e>
            <m:sub>
              <m:r>
                <m:rPr/>
                <w:rPr>
                  <w:rFonts w:ascii="Cambria Math" w:hAnsi="Cambria Math" w:eastAsia="Cambria Math"/>
                </w:rPr>
                <m:t>s</m:t>
              </m:r>
              <m:ctrlPr>
                <w:rPr>
                  <w:rFonts w:ascii="Cambria Math" w:hAnsi="Cambria Math" w:eastAsia="Cambria Math"/>
                  <w:i/>
                </w:rPr>
              </m:ctrlPr>
            </m:sub>
          </m:sSub>
          <m:sSub>
            <m:sSubPr>
              <m:ctrlPr>
                <w:rPr>
                  <w:rFonts w:ascii="Cambria Math" w:hAnsi="Cambria Math" w:eastAsia="Cambria Math"/>
                  <w:i/>
                </w:rPr>
              </m:ctrlPr>
            </m:sSubPr>
            <m:e>
              <m:r>
                <m:rPr/>
                <w:rPr>
                  <w:rFonts w:ascii="Cambria Math" w:hAnsi="Cambria Math" w:eastAsia="Cambria Math"/>
                </w:rPr>
                <m:t>ε</m:t>
              </m:r>
              <m:ctrlPr>
                <w:rPr>
                  <w:rFonts w:ascii="Cambria Math" w:hAnsi="Cambria Math" w:eastAsia="Cambria Math"/>
                  <w:i/>
                </w:rPr>
              </m:ctrlPr>
            </m:e>
            <m:sub>
              <m:r>
                <m:rPr/>
                <w:rPr>
                  <w:rFonts w:ascii="Cambria Math" w:hAnsi="Cambria Math" w:eastAsia="Cambria Math"/>
                </w:rPr>
                <m:t>1</m:t>
              </m:r>
              <m:ctrlPr>
                <w:rPr>
                  <w:rFonts w:ascii="Cambria Math" w:hAnsi="Cambria Math" w:eastAsia="Cambria Math"/>
                  <w:i/>
                </w:rPr>
              </m:ctrlPr>
            </m:sub>
          </m:sSub>
          <m:r>
            <m:rPr/>
            <w:rPr>
              <w:rFonts w:ascii="Cambria Math" w:hAnsi="Cambria Math" w:eastAsia="Cambria Math"/>
            </w:rPr>
            <m:t>mb</m:t>
          </m:r>
          <m:rad>
            <m:radPr>
              <m:degHide m:val="true"/>
              <m:ctrlPr>
                <w:rPr>
                  <w:rFonts w:ascii="Cambria Math" w:hAnsi="Cambria Math" w:eastAsia="Cambria Math"/>
                  <w:i/>
                </w:rPr>
              </m:ctrlPr>
            </m:radPr>
            <m:deg>
              <m:ctrlPr>
                <w:rPr>
                  <w:rFonts w:ascii="Cambria Math" w:hAnsi="Cambria Math" w:eastAsia="Cambria Math"/>
                  <w:i/>
                </w:rPr>
              </m:ctrlPr>
            </m:deg>
            <m:e>
              <m:r>
                <m:rPr/>
                <w:rPr>
                  <w:rFonts w:ascii="Cambria Math" w:hAnsi="Cambria Math" w:eastAsia="Cambria Math"/>
                </w:rPr>
                <m:t>2g</m:t>
              </m:r>
              <m:ctrlPr>
                <w:rPr>
                  <w:rFonts w:ascii="Cambria Math" w:hAnsi="Cambria Math" w:eastAsia="Cambria Math"/>
                  <w:i/>
                </w:rPr>
              </m:ctrlPr>
            </m:e>
          </m:rad>
          <m:sSubSup>
            <m:sSubSupPr>
              <m:ctrlPr>
                <w:rPr>
                  <w:rFonts w:ascii="Cambria Math" w:hAnsi="Cambria Math" w:eastAsia="Cambria Math"/>
                  <w:i/>
                </w:rPr>
              </m:ctrlPr>
            </m:sSubSupPr>
            <m:e>
              <m:r>
                <m:rPr/>
                <w:rPr>
                  <w:rFonts w:ascii="Cambria Math" w:hAnsi="Cambria Math" w:eastAsia="Cambria Math"/>
                </w:rPr>
                <m:t>H</m:t>
              </m:r>
              <m:ctrlPr>
                <w:rPr>
                  <w:rFonts w:ascii="Cambria Math" w:hAnsi="Cambria Math" w:eastAsia="Cambria Math"/>
                  <w:i/>
                </w:rPr>
              </m:ctrlPr>
            </m:e>
            <m:sub>
              <m:r>
                <m:rPr/>
                <w:rPr>
                  <w:rFonts w:ascii="Cambria Math" w:hAnsi="Cambria Math" w:eastAsia="Cambria Math"/>
                </w:rPr>
                <m:t>0</m:t>
              </m:r>
              <m:ctrlPr>
                <w:rPr>
                  <w:rFonts w:ascii="Cambria Math" w:hAnsi="Cambria Math" w:eastAsia="Cambria Math"/>
                  <w:i/>
                </w:rPr>
              </m:ctrlPr>
            </m:sub>
            <m:sup>
              <m:f>
                <m:fPr>
                  <m:ctrlPr>
                    <w:rPr>
                      <w:rFonts w:ascii="Cambria Math" w:hAnsi="Cambria Math" w:eastAsia="Cambria Math"/>
                      <w:i/>
                    </w:rPr>
                  </m:ctrlPr>
                </m:fPr>
                <m:num>
                  <m:r>
                    <m:rPr/>
                    <w:rPr>
                      <w:rFonts w:ascii="Cambria Math" w:hAnsi="Cambria Math" w:eastAsia="Cambria Math"/>
                    </w:rPr>
                    <m:t>3</m:t>
                  </m:r>
                  <m:ctrlPr>
                    <w:rPr>
                      <w:rFonts w:ascii="Cambria Math" w:hAnsi="Cambria Math" w:eastAsia="Cambria Math"/>
                      <w:i/>
                    </w:rPr>
                  </m:ctrlPr>
                </m:num>
                <m:den>
                  <m:r>
                    <m:rPr/>
                    <w:rPr>
                      <w:rFonts w:ascii="Cambria Math" w:hAnsi="Cambria Math" w:eastAsia="Cambria Math"/>
                    </w:rPr>
                    <m:t>2</m:t>
                  </m:r>
                  <m:ctrlPr>
                    <w:rPr>
                      <w:rFonts w:ascii="Cambria Math" w:hAnsi="Cambria Math" w:eastAsia="Cambria Math"/>
                      <w:i/>
                    </w:rPr>
                  </m:ctrlPr>
                </m:den>
              </m:f>
              <m:ctrlPr>
                <w:rPr>
                  <w:rFonts w:ascii="Cambria Math" w:hAnsi="Cambria Math" w:eastAsia="Cambria Math"/>
                  <w:i/>
                </w:rPr>
              </m:ctrlPr>
            </m:sup>
          </m:sSubSup>
        </m:oMath>
      </m:oMathPara>
    </w:p>
    <w:p>
      <w:pPr>
        <w:ind w:firstLine="480"/>
        <w:rPr>
          <w:rFonts w:eastAsiaTheme="minorEastAsia"/>
        </w:rPr>
      </w:pPr>
      <w:r>
        <w:rPr>
          <w:rFonts w:hint="eastAsia" w:eastAsiaTheme="minorEastAsia"/>
        </w:rPr>
        <w:t>式中：</w:t>
      </w:r>
    </w:p>
    <w:p>
      <w:pPr>
        <w:ind w:firstLine="480"/>
        <w:rPr>
          <w:rFonts w:eastAsiaTheme="minorEastAsia"/>
        </w:rPr>
      </w:pPr>
      <w:r>
        <w:rPr>
          <w:rFonts w:eastAsiaTheme="minorEastAsia"/>
          <w:i/>
        </w:rPr>
        <w:t>Q</w:t>
      </w:r>
      <w:r>
        <w:rPr>
          <w:rFonts w:hint="eastAsia" w:eastAsiaTheme="minorEastAsia"/>
        </w:rPr>
        <w:t>—泄流量，</w:t>
      </w:r>
      <w:r>
        <w:rPr>
          <w:rFonts w:eastAsiaTheme="minorEastAsia"/>
        </w:rPr>
        <w:t>m</w:t>
      </w:r>
      <w:r>
        <w:rPr>
          <w:rFonts w:eastAsiaTheme="minorEastAsia"/>
          <w:vertAlign w:val="superscript"/>
        </w:rPr>
        <w:t>3</w:t>
      </w:r>
      <w:r>
        <w:rPr>
          <w:rFonts w:eastAsiaTheme="minorEastAsia"/>
        </w:rPr>
        <w:t>/s</w:t>
      </w:r>
      <w:r>
        <w:rPr>
          <w:rFonts w:hint="eastAsia" w:eastAsiaTheme="minorEastAsia"/>
        </w:rPr>
        <w:t>；</w:t>
      </w:r>
    </w:p>
    <w:p>
      <w:pPr>
        <w:ind w:firstLine="480"/>
        <w:rPr>
          <w:rFonts w:eastAsiaTheme="minorEastAsia"/>
        </w:rPr>
      </w:pPr>
      <m:oMath>
        <m:sSub>
          <m:sSubPr>
            <m:ctrlPr>
              <w:rPr>
                <w:rFonts w:ascii="Cambria Math" w:hAnsi="Cambria Math" w:eastAsia="Cambria Math"/>
                <w:i/>
              </w:rPr>
            </m:ctrlPr>
          </m:sSubPr>
          <m:e>
            <m:r>
              <m:rPr/>
              <w:rPr>
                <w:rFonts w:ascii="Cambria Math" w:hAnsi="Cambria Math" w:eastAsia="Cambria Math"/>
              </w:rPr>
              <m:t>σ</m:t>
            </m:r>
            <m:ctrlPr>
              <w:rPr>
                <w:rFonts w:ascii="Cambria Math" w:hAnsi="Cambria Math" w:eastAsia="Cambria Math"/>
                <w:i/>
              </w:rPr>
            </m:ctrlPr>
          </m:e>
          <m:sub>
            <m:r>
              <m:rPr/>
              <w:rPr>
                <w:rFonts w:ascii="Cambria Math" w:hAnsi="Cambria Math" w:eastAsia="Cambria Math"/>
              </w:rPr>
              <m:t>s</m:t>
            </m:r>
            <m:ctrlPr>
              <w:rPr>
                <w:rFonts w:ascii="Cambria Math" w:hAnsi="Cambria Math" w:eastAsia="Cambria Math"/>
                <w:i/>
              </w:rPr>
            </m:ctrlPr>
          </m:sub>
        </m:sSub>
      </m:oMath>
      <w:r>
        <w:rPr>
          <w:rFonts w:hint="eastAsia" w:eastAsiaTheme="minorEastAsia"/>
        </w:rPr>
        <w:t>—淹没系数，自由出流时，取</w:t>
      </w:r>
      <m:oMath>
        <m:sSub>
          <m:sSubPr>
            <m:ctrlPr>
              <w:rPr>
                <w:rFonts w:ascii="Cambria Math" w:hAnsi="Cambria Math" w:eastAsia="Cambria Math"/>
                <w:i/>
              </w:rPr>
            </m:ctrlPr>
          </m:sSubPr>
          <m:e>
            <m:r>
              <m:rPr/>
              <w:rPr>
                <w:rFonts w:ascii="Cambria Math" w:hAnsi="Cambria Math" w:eastAsia="Cambria Math"/>
              </w:rPr>
              <m:t>σ</m:t>
            </m:r>
            <m:ctrlPr>
              <w:rPr>
                <w:rFonts w:ascii="Cambria Math" w:hAnsi="Cambria Math" w:eastAsia="Cambria Math"/>
                <w:i/>
              </w:rPr>
            </m:ctrlPr>
          </m:e>
          <m:sub>
            <m:r>
              <m:rPr/>
              <w:rPr>
                <w:rFonts w:ascii="Cambria Math" w:hAnsi="Cambria Math" w:eastAsia="Cambria Math"/>
              </w:rPr>
              <m:t>s</m:t>
            </m:r>
            <m:ctrlPr>
              <w:rPr>
                <w:rFonts w:ascii="Cambria Math" w:hAnsi="Cambria Math" w:eastAsia="Cambria Math"/>
                <w:i/>
              </w:rPr>
            </m:ctrlPr>
          </m:sub>
        </m:sSub>
      </m:oMath>
      <w:r>
        <w:rPr>
          <w:rFonts w:eastAsiaTheme="minorEastAsia"/>
        </w:rPr>
        <w:t>=1</w:t>
      </w:r>
      <w:r>
        <w:rPr>
          <w:rFonts w:hint="eastAsia" w:eastAsiaTheme="minorEastAsia"/>
        </w:rPr>
        <w:t>；</w:t>
      </w:r>
    </w:p>
    <w:p>
      <w:pPr>
        <w:ind w:firstLine="480"/>
        <w:rPr>
          <w:rFonts w:eastAsiaTheme="minorEastAsia"/>
        </w:rPr>
      </w:pPr>
      <m:oMath>
        <m:sSub>
          <m:sSubPr>
            <m:ctrlPr>
              <w:rPr>
                <w:rFonts w:ascii="Cambria Math" w:hAnsi="Cambria Math" w:eastAsia="Cambria Math"/>
                <w:i/>
              </w:rPr>
            </m:ctrlPr>
          </m:sSubPr>
          <m:e>
            <m:r>
              <m:rPr/>
              <w:rPr>
                <w:rFonts w:ascii="Cambria Math" w:hAnsi="Cambria Math" w:eastAsia="Cambria Math"/>
              </w:rPr>
              <m:t>ε</m:t>
            </m:r>
            <m:ctrlPr>
              <w:rPr>
                <w:rFonts w:ascii="Cambria Math" w:hAnsi="Cambria Math" w:eastAsia="Cambria Math"/>
                <w:i/>
              </w:rPr>
            </m:ctrlPr>
          </m:e>
          <m:sub>
            <m:r>
              <m:rPr/>
              <w:rPr>
                <w:rFonts w:ascii="Cambria Math" w:hAnsi="Cambria Math" w:eastAsia="Cambria Math"/>
              </w:rPr>
              <m:t>1</m:t>
            </m:r>
            <m:ctrlPr>
              <w:rPr>
                <w:rFonts w:ascii="Cambria Math" w:hAnsi="Cambria Math" w:eastAsia="Cambria Math"/>
                <w:i/>
              </w:rPr>
            </m:ctrlPr>
          </m:sub>
        </m:sSub>
      </m:oMath>
      <w:r>
        <w:rPr>
          <w:rFonts w:hint="eastAsia" w:eastAsiaTheme="minorEastAsia"/>
        </w:rPr>
        <w:t>—侧收缩系数，</w:t>
      </w:r>
      <m:oMath>
        <m:sSub>
          <m:sSubPr>
            <m:ctrlPr>
              <w:rPr>
                <w:rFonts w:ascii="Cambria Math" w:hAnsi="Cambria Math" w:eastAsia="Cambria Math"/>
                <w:i/>
              </w:rPr>
            </m:ctrlPr>
          </m:sSubPr>
          <m:e>
            <m:r>
              <m:rPr/>
              <w:rPr>
                <w:rFonts w:ascii="Cambria Math" w:hAnsi="Cambria Math" w:eastAsia="Cambria Math"/>
              </w:rPr>
              <m:t>ε</m:t>
            </m:r>
            <m:ctrlPr>
              <w:rPr>
                <w:rFonts w:ascii="Cambria Math" w:hAnsi="Cambria Math" w:eastAsia="Cambria Math"/>
                <w:i/>
              </w:rPr>
            </m:ctrlPr>
          </m:e>
          <m:sub>
            <m:r>
              <m:rPr/>
              <w:rPr>
                <w:rFonts w:ascii="Cambria Math" w:hAnsi="Cambria Math" w:eastAsia="Cambria Math"/>
              </w:rPr>
              <m:t>1</m:t>
            </m:r>
            <m:ctrlPr>
              <w:rPr>
                <w:rFonts w:ascii="Cambria Math" w:hAnsi="Cambria Math" w:eastAsia="Cambria Math"/>
                <w:i/>
              </w:rPr>
            </m:ctrlPr>
          </m:sub>
        </m:sSub>
        <m:r>
          <m:rPr/>
          <w:rPr>
            <w:rFonts w:ascii="Cambria Math" w:hAnsi="Cambria Math" w:eastAsia="Cambria Math"/>
          </w:rPr>
          <m:t>=</m:t>
        </m:r>
        <m:r>
          <m:rPr>
            <m:sty m:val="p"/>
          </m:rPr>
          <w:rPr>
            <w:rFonts w:ascii="Cambria Math" w:hAnsi="Cambria Math" w:eastAsiaTheme="minorEastAsia"/>
          </w:rPr>
          <m:t>1−0.2[</m:t>
        </m:r>
        <m:sSub>
          <m:sSubPr>
            <m:ctrlPr>
              <w:rPr>
                <w:rFonts w:ascii="Cambria Math" w:hAnsi="Cambria Math" w:eastAsiaTheme="minorEastAsia"/>
              </w:rPr>
            </m:ctrlPr>
          </m:sSubPr>
          <m:e>
            <m:r>
              <m:rPr/>
              <w:rPr>
                <w:rFonts w:ascii="Cambria Math" w:hAnsi="Cambria Math" w:eastAsiaTheme="minorEastAsia"/>
              </w:rPr>
              <m:t>ξ</m:t>
            </m:r>
            <m:ctrlPr>
              <w:rPr>
                <w:rFonts w:ascii="Cambria Math" w:hAnsi="Cambria Math" w:eastAsiaTheme="minorEastAsia"/>
              </w:rPr>
            </m:ctrlPr>
          </m:e>
          <m:sub>
            <m:r>
              <m:rPr/>
              <w:rPr>
                <w:rFonts w:ascii="Cambria Math" w:hAnsi="Cambria Math" w:eastAsiaTheme="minorEastAsia"/>
              </w:rPr>
              <m:t>k</m:t>
            </m:r>
            <m:ctrlPr>
              <w:rPr>
                <w:rFonts w:ascii="Cambria Math" w:hAnsi="Cambria Math" w:eastAsiaTheme="minorEastAsia"/>
              </w:rPr>
            </m:ctrlPr>
          </m:sub>
        </m:sSub>
        <m:r>
          <m:rPr/>
          <w:rPr>
            <w:rFonts w:ascii="Cambria Math" w:hAnsi="Cambria Math" w:eastAsiaTheme="minorEastAsia"/>
          </w:rPr>
          <m:t>+</m:t>
        </m:r>
        <m:d>
          <m:dPr>
            <m:ctrlPr>
              <w:rPr>
                <w:rFonts w:ascii="Cambria Math" w:hAnsi="Cambria Math" w:eastAsiaTheme="minorEastAsia"/>
                <w:i/>
              </w:rPr>
            </m:ctrlPr>
          </m:dPr>
          <m:e>
            <m:r>
              <m:rPr/>
              <w:rPr>
                <w:rFonts w:ascii="Cambria Math" w:hAnsi="Cambria Math" w:eastAsiaTheme="minorEastAsia"/>
              </w:rPr>
              <m:t>n+1</m:t>
            </m:r>
            <m:ctrlPr>
              <w:rPr>
                <w:rFonts w:ascii="Cambria Math" w:hAnsi="Cambria Math" w:eastAsiaTheme="minorEastAsia"/>
                <w:i/>
              </w:rPr>
            </m:ctrlPr>
          </m:e>
        </m:d>
        <m:sSub>
          <m:sSubPr>
            <m:ctrlPr>
              <w:rPr>
                <w:rFonts w:ascii="Cambria Math" w:hAnsi="Cambria Math" w:eastAsiaTheme="minorEastAsia"/>
              </w:rPr>
            </m:ctrlPr>
          </m:sSubPr>
          <m:e>
            <m:r>
              <m:rPr/>
              <w:rPr>
                <w:rFonts w:ascii="Cambria Math" w:hAnsi="Cambria Math" w:eastAsiaTheme="minorEastAsia"/>
              </w:rPr>
              <m:t>ξ</m:t>
            </m:r>
            <m:ctrlPr>
              <w:rPr>
                <w:rFonts w:ascii="Cambria Math" w:hAnsi="Cambria Math" w:eastAsiaTheme="minorEastAsia"/>
              </w:rPr>
            </m:ctrlPr>
          </m:e>
          <m:sub>
            <m:r>
              <m:rPr/>
              <w:rPr>
                <w:rFonts w:ascii="Cambria Math" w:hAnsi="Cambria Math" w:eastAsiaTheme="minorEastAsia"/>
              </w:rPr>
              <m:t>0</m:t>
            </m:r>
            <m:ctrlPr>
              <w:rPr>
                <w:rFonts w:ascii="Cambria Math" w:hAnsi="Cambria Math" w:eastAsiaTheme="minorEastAsia"/>
              </w:rPr>
            </m:ctrlPr>
          </m:sub>
        </m:sSub>
        <m:r>
          <m:rPr/>
          <w:rPr>
            <w:rFonts w:ascii="Cambria Math" w:hAnsi="Cambria Math" w:eastAsiaTheme="minorEastAsia"/>
          </w:rPr>
          <m:t>]</m:t>
        </m:r>
        <m:f>
          <m:fPr>
            <m:ctrlPr>
              <w:rPr>
                <w:rFonts w:ascii="Cambria Math" w:hAnsi="Cambria Math" w:eastAsiaTheme="minorEastAsia"/>
                <w:i/>
              </w:rPr>
            </m:ctrlPr>
          </m:fPr>
          <m:num>
            <m:sSub>
              <m:sSubPr>
                <m:ctrlPr>
                  <w:rPr>
                    <w:rFonts w:ascii="Cambria Math" w:hAnsi="Cambria Math" w:eastAsiaTheme="minorEastAsia"/>
                    <w:i/>
                  </w:rPr>
                </m:ctrlPr>
              </m:sSubPr>
              <m:e>
                <m:r>
                  <m:rPr/>
                  <w:rPr>
                    <w:rFonts w:ascii="Cambria Math" w:hAnsi="Cambria Math" w:eastAsiaTheme="minorEastAsia"/>
                  </w:rPr>
                  <m:t>H</m:t>
                </m:r>
                <m:ctrlPr>
                  <w:rPr>
                    <w:rFonts w:ascii="Cambria Math" w:hAnsi="Cambria Math" w:eastAsiaTheme="minorEastAsia"/>
                    <w:i/>
                  </w:rPr>
                </m:ctrlPr>
              </m:e>
              <m:sub>
                <m:r>
                  <m:rPr/>
                  <w:rPr>
                    <w:rFonts w:ascii="Cambria Math" w:hAnsi="Cambria Math" w:eastAsiaTheme="minorEastAsia"/>
                  </w:rPr>
                  <m:t>0</m:t>
                </m:r>
                <m:ctrlPr>
                  <w:rPr>
                    <w:rFonts w:ascii="Cambria Math" w:hAnsi="Cambria Math" w:eastAsiaTheme="minorEastAsia"/>
                    <w:i/>
                  </w:rPr>
                </m:ctrlPr>
              </m:sub>
            </m:sSub>
            <m:ctrlPr>
              <w:rPr>
                <w:rFonts w:ascii="Cambria Math" w:hAnsi="Cambria Math" w:eastAsiaTheme="minorEastAsia"/>
                <w:i/>
              </w:rPr>
            </m:ctrlPr>
          </m:num>
          <m:den>
            <m:r>
              <m:rPr/>
              <w:rPr>
                <w:rFonts w:ascii="Cambria Math" w:hAnsi="Cambria Math" w:eastAsiaTheme="minorEastAsia"/>
              </w:rPr>
              <m:t>b</m:t>
            </m:r>
            <m:ctrlPr>
              <w:rPr>
                <w:rFonts w:ascii="Cambria Math" w:hAnsi="Cambria Math" w:eastAsiaTheme="minorEastAsia"/>
                <w:i/>
              </w:rPr>
            </m:ctrlPr>
          </m:den>
        </m:f>
      </m:oMath>
      <w:r>
        <w:rPr>
          <w:rFonts w:hint="eastAsia" w:eastAsiaTheme="minorEastAsia"/>
        </w:rPr>
        <w:t>；</w:t>
      </w:r>
    </w:p>
    <w:p>
      <w:pPr>
        <w:ind w:firstLine="480"/>
        <w:rPr>
          <w:rFonts w:eastAsiaTheme="minorEastAsia"/>
        </w:rPr>
      </w:pPr>
      <w:r>
        <w:rPr>
          <w:rFonts w:eastAsiaTheme="minorEastAsia"/>
          <w:i/>
        </w:rPr>
        <w:t>m</w:t>
      </w:r>
      <w:r>
        <w:rPr>
          <w:rFonts w:hint="eastAsia" w:eastAsiaTheme="minorEastAsia"/>
        </w:rPr>
        <w:t>—流量系数，根据堰上水头及堰高与设计水头关系查表得；</w:t>
      </w:r>
    </w:p>
    <w:p>
      <w:pPr>
        <w:ind w:firstLine="480"/>
      </w:pPr>
      <w:r>
        <w:rPr>
          <w:i/>
        </w:rPr>
        <w:t>b</w:t>
      </w:r>
      <w:r>
        <w:rPr>
          <w:rFonts w:hint="eastAsia"/>
        </w:rPr>
        <w:t>—溢流堰总净宽度，</w:t>
      </w:r>
      <w:r>
        <w:t>m</w:t>
      </w:r>
      <w:r>
        <w:rPr>
          <w:rFonts w:hint="eastAsia"/>
        </w:rPr>
        <w:t>；</w:t>
      </w:r>
    </w:p>
    <w:p>
      <w:pPr>
        <w:ind w:firstLine="480"/>
      </w:pPr>
      <m:oMath>
        <m:sSub>
          <m:sSubPr>
            <m:ctrlPr>
              <w:rPr>
                <w:rFonts w:ascii="Cambria Math" w:hAnsi="Cambria Math" w:eastAsiaTheme="minorEastAsia"/>
                <w:i/>
              </w:rPr>
            </m:ctrlPr>
          </m:sSubPr>
          <m:e>
            <m:r>
              <m:rPr/>
              <w:rPr>
                <w:rFonts w:ascii="Cambria Math" w:hAnsi="Cambria Math" w:eastAsiaTheme="minorEastAsia"/>
              </w:rPr>
              <m:t>H</m:t>
            </m:r>
            <m:ctrlPr>
              <w:rPr>
                <w:rFonts w:ascii="Cambria Math" w:hAnsi="Cambria Math" w:eastAsiaTheme="minorEastAsia"/>
                <w:i/>
              </w:rPr>
            </m:ctrlPr>
          </m:e>
          <m:sub>
            <m:r>
              <m:rPr/>
              <w:rPr>
                <w:rFonts w:ascii="Cambria Math" w:hAnsi="Cambria Math" w:eastAsiaTheme="minorEastAsia"/>
              </w:rPr>
              <m:t>0</m:t>
            </m:r>
            <m:ctrlPr>
              <w:rPr>
                <w:rFonts w:ascii="Cambria Math" w:hAnsi="Cambria Math" w:eastAsiaTheme="minorEastAsia"/>
                <w:i/>
              </w:rPr>
            </m:ctrlPr>
          </m:sub>
        </m:sSub>
      </m:oMath>
      <w:r>
        <w:rPr>
          <w:rFonts w:hint="eastAsia"/>
        </w:rPr>
        <w:t>—溢流堰全水头，</w:t>
      </w:r>
      <w:r>
        <w:t>m</w:t>
      </w:r>
      <w:r>
        <w:rPr>
          <w:rFonts w:hint="eastAsia"/>
        </w:rPr>
        <w:t>；</w:t>
      </w:r>
    </w:p>
    <w:p>
      <w:pPr>
        <w:ind w:firstLine="480"/>
      </w:pPr>
      <w:r>
        <w:rPr>
          <w:rFonts w:hint="eastAsia"/>
        </w:rPr>
        <w:t>根据水库的不同水位推算出溢洪道的相应泄量</w:t>
      </w:r>
      <w:r>
        <w:rPr>
          <w:rFonts w:hint="eastAsia"/>
          <w:i/>
        </w:rPr>
        <w:t>Q</w:t>
      </w:r>
      <w:r>
        <w:rPr>
          <w:rFonts w:hint="eastAsia"/>
        </w:rPr>
        <w:t>，并制成水库水位</w:t>
      </w:r>
      <w:r>
        <w:t>~</w:t>
      </w:r>
      <w:r>
        <w:rPr>
          <w:rFonts w:hint="eastAsia"/>
        </w:rPr>
        <w:t>库容</w:t>
      </w:r>
      <w:r>
        <w:t>~</w:t>
      </w:r>
      <w:r>
        <w:rPr>
          <w:rFonts w:hint="eastAsia"/>
        </w:rPr>
        <w:t>泄量关系，见表</w:t>
      </w:r>
      <w:r>
        <w:t>2.2-2</w:t>
      </w:r>
      <w:r>
        <w:rPr>
          <w:rFonts w:hint="eastAsia"/>
        </w:rPr>
        <w:t>，并绘制水库水位</w:t>
      </w:r>
      <w:r>
        <w:t>~</w:t>
      </w:r>
      <w:r>
        <w:rPr>
          <w:rFonts w:hint="eastAsia"/>
        </w:rPr>
        <w:t>库容</w:t>
      </w:r>
      <w:r>
        <w:t>~</w:t>
      </w:r>
      <w:r>
        <w:rPr>
          <w:rFonts w:hint="eastAsia"/>
        </w:rPr>
        <w:t>泄量曲线。</w:t>
      </w:r>
    </w:p>
    <w:p>
      <w:pPr>
        <w:pStyle w:val="12"/>
      </w:pPr>
      <w:r>
        <w:rPr>
          <w:rFonts w:hint="eastAsia"/>
        </w:rPr>
        <w:t>表</w:t>
      </w:r>
      <w:r>
        <w:fldChar w:fldCharType="begin"/>
      </w:r>
      <w:r>
        <w:rPr>
          <w:rFonts w:hint="eastAsia"/>
        </w:rPr>
        <w:instrText xml:space="preserve">STYLEREF 2 \s</w:instrText>
      </w:r>
      <w:r>
        <w:fldChar w:fldCharType="separate"/>
      </w:r>
      <w:r>
        <w:t>2.2</w:t>
      </w:r>
      <w:r>
        <w:fldChar w:fldCharType="end"/>
      </w:r>
      <w:r>
        <w:noBreakHyphen/>
      </w:r>
      <w:r>
        <w:fldChar w:fldCharType="begin"/>
      </w:r>
      <w:r>
        <w:rPr>
          <w:rFonts w:hint="eastAsia"/>
        </w:rPr>
        <w:instrText xml:space="preserve">SEQ 表 \* ARABIC \s 2</w:instrText>
      </w:r>
      <w:r>
        <w:fldChar w:fldCharType="separate"/>
      </w:r>
      <w:r>
        <w:t>2</w:t>
      </w:r>
      <w:r>
        <w:fldChar w:fldCharType="end"/>
      </w:r>
      <w:r>
        <w:rPr>
          <w:rFonts w:hint="eastAsia"/>
        </w:rPr>
        <w:t>水库水位</w:t>
      </w:r>
      <w:r>
        <w:t>~</w:t>
      </w:r>
      <w:r>
        <w:rPr>
          <w:rFonts w:hint="eastAsia"/>
        </w:rPr>
        <w:t>库容</w:t>
      </w:r>
      <w:r>
        <w:t>~</w:t>
      </w:r>
      <w:r>
        <w:rPr>
          <w:rFonts w:hint="eastAsia"/>
        </w:rPr>
        <w:t>泄量关系表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18"/>
        <w:gridCol w:w="1275"/>
        <w:gridCol w:w="1418"/>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31" w:type="dxa"/>
            <w:vAlign w:val="center"/>
          </w:tcPr>
          <w:p>
            <w:pPr>
              <w:widowControl/>
              <w:spacing w:line="240" w:lineRule="auto"/>
              <w:ind w:firstLine="0" w:firstLineChars="0"/>
              <w:jc w:val="center"/>
              <w:rPr>
                <w:kern w:val="0"/>
                <w:sz w:val="18"/>
                <w:szCs w:val="18"/>
              </w:rPr>
            </w:pPr>
            <w:r>
              <w:rPr>
                <w:rFonts w:hint="eastAsia"/>
                <w:kern w:val="0"/>
                <w:sz w:val="18"/>
                <w:szCs w:val="18"/>
              </w:rPr>
              <w:t>水位</w:t>
            </w:r>
            <w:r>
              <w:rPr>
                <w:rFonts w:hint="eastAsia"/>
                <w:kern w:val="0"/>
                <w:sz w:val="18"/>
                <w:szCs w:val="18"/>
              </w:rPr>
              <w:br w:type="textWrapping"/>
            </w:r>
            <w:r>
              <w:rPr>
                <w:rFonts w:hint="eastAsia"/>
                <w:kern w:val="0"/>
                <w:sz w:val="18"/>
                <w:szCs w:val="18"/>
              </w:rPr>
              <w:t>（m）</w:t>
            </w:r>
          </w:p>
        </w:tc>
        <w:tc>
          <w:tcPr>
            <w:tcW w:w="1418" w:type="dxa"/>
            <w:vAlign w:val="center"/>
          </w:tcPr>
          <w:p>
            <w:pPr>
              <w:widowControl/>
              <w:spacing w:line="240" w:lineRule="auto"/>
              <w:ind w:firstLine="0" w:firstLineChars="0"/>
              <w:jc w:val="center"/>
              <w:rPr>
                <w:kern w:val="0"/>
                <w:sz w:val="18"/>
                <w:szCs w:val="18"/>
              </w:rPr>
            </w:pPr>
            <w:r>
              <w:rPr>
                <w:rFonts w:hint="eastAsia"/>
                <w:kern w:val="0"/>
                <w:sz w:val="18"/>
                <w:szCs w:val="18"/>
              </w:rPr>
              <w:t>库容（万m3）</w:t>
            </w:r>
          </w:p>
        </w:tc>
        <w:tc>
          <w:tcPr>
            <w:tcW w:w="1275" w:type="dxa"/>
            <w:vAlign w:val="center"/>
          </w:tcPr>
          <w:p>
            <w:pPr>
              <w:widowControl/>
              <w:spacing w:line="240" w:lineRule="auto"/>
              <w:ind w:firstLine="0" w:firstLineChars="0"/>
              <w:jc w:val="center"/>
              <w:rPr>
                <w:kern w:val="0"/>
                <w:sz w:val="18"/>
                <w:szCs w:val="18"/>
              </w:rPr>
            </w:pPr>
            <w:r>
              <w:rPr>
                <w:rFonts w:hint="eastAsia"/>
                <w:kern w:val="0"/>
                <w:sz w:val="18"/>
                <w:szCs w:val="18"/>
              </w:rPr>
              <w:t>调洪库容</w:t>
            </w:r>
            <w:r>
              <w:rPr>
                <w:rFonts w:hint="eastAsia"/>
                <w:kern w:val="0"/>
                <w:sz w:val="18"/>
                <w:szCs w:val="18"/>
              </w:rPr>
              <w:br w:type="textWrapping"/>
            </w:r>
            <w:r>
              <w:rPr>
                <w:rFonts w:hint="eastAsia"/>
                <w:kern w:val="0"/>
                <w:sz w:val="18"/>
                <w:szCs w:val="18"/>
              </w:rPr>
              <w:t>（万m3）</w:t>
            </w:r>
          </w:p>
        </w:tc>
        <w:tc>
          <w:tcPr>
            <w:tcW w:w="1418" w:type="dxa"/>
            <w:vAlign w:val="center"/>
          </w:tcPr>
          <w:p>
            <w:pPr>
              <w:widowControl/>
              <w:spacing w:line="240" w:lineRule="auto"/>
              <w:ind w:firstLine="0" w:firstLineChars="0"/>
              <w:jc w:val="center"/>
              <w:rPr>
                <w:kern w:val="0"/>
                <w:sz w:val="18"/>
                <w:szCs w:val="18"/>
              </w:rPr>
            </w:pPr>
            <w:r>
              <w:rPr>
                <w:rFonts w:hint="eastAsia"/>
                <w:kern w:val="0"/>
                <w:sz w:val="18"/>
                <w:szCs w:val="18"/>
              </w:rPr>
              <w:t>溢流堰净宽（m）</w:t>
            </w:r>
          </w:p>
        </w:tc>
        <w:tc>
          <w:tcPr>
            <w:tcW w:w="1276" w:type="dxa"/>
            <w:vAlign w:val="center"/>
          </w:tcPr>
          <w:p>
            <w:pPr>
              <w:widowControl/>
              <w:spacing w:line="240" w:lineRule="auto"/>
              <w:ind w:firstLine="0" w:firstLineChars="0"/>
              <w:jc w:val="center"/>
              <w:rPr>
                <w:kern w:val="0"/>
                <w:sz w:val="18"/>
                <w:szCs w:val="18"/>
              </w:rPr>
            </w:pPr>
            <w:r>
              <w:rPr>
                <w:rFonts w:hint="eastAsia"/>
                <w:kern w:val="0"/>
                <w:sz w:val="18"/>
                <w:szCs w:val="18"/>
              </w:rPr>
              <w:t>堰上水深（m）</w:t>
            </w:r>
          </w:p>
        </w:tc>
        <w:tc>
          <w:tcPr>
            <w:tcW w:w="1275" w:type="dxa"/>
            <w:vAlign w:val="center"/>
          </w:tcPr>
          <w:p>
            <w:pPr>
              <w:widowControl/>
              <w:spacing w:line="240" w:lineRule="auto"/>
              <w:ind w:firstLine="0" w:firstLineChars="0"/>
              <w:jc w:val="center"/>
              <w:rPr>
                <w:kern w:val="0"/>
                <w:sz w:val="18"/>
                <w:szCs w:val="18"/>
              </w:rPr>
            </w:pPr>
            <w:r>
              <w:rPr>
                <w:rFonts w:hint="eastAsia"/>
                <w:kern w:val="0"/>
                <w:sz w:val="18"/>
                <w:szCs w:val="18"/>
              </w:rPr>
              <w:t>泄流量（m3/s）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94.15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4.5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0</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94.65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4.7</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0.2</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0.5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95.15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5.72</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1.22</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1</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95.65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8.39</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3.89</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1.5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96.15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12.43</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7.93</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2</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96.65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17.84</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13.34</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2.5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97.15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23.16</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18.66</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3</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141.4</w:t>
            </w:r>
          </w:p>
        </w:tc>
      </w:tr>
    </w:tbl>
    <w:p>
      <w:pPr>
        <w:pStyle w:val="12"/>
        <w:ind w:firstLine="480"/>
      </w:pPr>
    </w:p>
    <w:p>
      <w:pPr>
        <w:ind w:firstLine="480"/>
        <w:jc w:val="center"/>
      </w:pPr>
      <w:r>
        <w:drawing>
          <wp:inline distT="0" distB="0" distL="0" distR="0">
            <wp:extent cx="4743450" cy="2990850"/>
            <wp:effectExtent l="0" t="0" r="19050" b="1905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2.2</w:t>
      </w:r>
      <w:r>
        <w:fldChar w:fldCharType="end"/>
      </w:r>
      <w:r>
        <w:noBreakHyphen/>
      </w:r>
      <w:r>
        <w:fldChar w:fldCharType="begin"/>
      </w:r>
      <w:r>
        <w:rPr>
          <w:rFonts w:hint="eastAsia"/>
        </w:rPr>
        <w:instrText xml:space="preserve">SEQ 图 \* ARABIC \s 2</w:instrText>
      </w:r>
      <w:r>
        <w:fldChar w:fldCharType="separate"/>
      </w:r>
      <w:r>
        <w:t>2</w:t>
      </w:r>
      <w:r>
        <w:fldChar w:fldCharType="end"/>
      </w:r>
      <w:r>
        <w:rPr>
          <w:rFonts w:hint="eastAsia"/>
        </w:rPr>
        <w:t>水库水位</w:t>
      </w:r>
      <w:r>
        <w:t>~</w:t>
      </w:r>
      <w:r>
        <w:rPr>
          <w:rFonts w:hint="eastAsia"/>
        </w:rPr>
        <w:t>库容</w:t>
      </w:r>
      <w:r>
        <w:t>~</w:t>
      </w:r>
      <w:r>
        <w:rPr>
          <w:rFonts w:hint="eastAsia"/>
        </w:rPr>
        <w:t>泄量曲线</w:t>
      </w:r>
    </w:p>
    <w:p>
      <w:pPr>
        <w:pStyle w:val="4"/>
        <w:spacing w:before="165" w:after="165"/>
      </w:pPr>
      <w:r>
        <w:rPr>
          <w:rFonts w:hint="eastAsia"/>
        </w:rPr>
        <w:t>历次重大改建、扩建、加固等基本情况</w:t>
      </w:r>
    </w:p>
    <w:p>
      <w:pPr>
        <w:ind w:firstLine="480"/>
      </w:pPr>
      <w:r>
        <w:rPr>
          <w:rFonts w:hint="eastAsia"/>
        </w:rPr>
        <w:t>2010年东道水库进行了除险加固，具体内容如下：</w:t>
      </w:r>
    </w:p>
    <w:p>
      <w:pPr>
        <w:ind w:firstLine="480"/>
      </w:pPr>
      <w:r>
        <w:rPr>
          <w:rFonts w:hint="eastAsia"/>
        </w:rPr>
        <w:t>大坝：副坝上游坝坡整理，新建高程93. 65m以上护坡;新建副坝坝顶上游侧防浪墙;布设观测设施。</w:t>
      </w:r>
    </w:p>
    <w:p>
      <w:pPr>
        <w:ind w:firstLine="480"/>
      </w:pPr>
      <w:r>
        <w:rPr>
          <w:rFonts w:hint="eastAsia"/>
        </w:rPr>
        <w:t>溢洪道：拆除重建溢洪道及交通桥，新建溢洪道宽12m，新建交通桥桥面净宽4m，对溢洪道进口段及泄槽进行护砌，进口段护砌长度7m，泄槽护砌长度8m。</w:t>
      </w:r>
    </w:p>
    <w:p>
      <w:pPr>
        <w:ind w:firstLine="480"/>
      </w:pPr>
      <w:r>
        <w:rPr>
          <w:rFonts w:hint="eastAsia"/>
        </w:rPr>
        <w:t>其他工程：新建管理房。</w:t>
      </w:r>
    </w:p>
    <w:p>
      <w:pPr>
        <w:ind w:firstLine="480"/>
      </w:pPr>
      <w:r>
        <w:rPr>
          <w:rFonts w:hint="eastAsia"/>
        </w:rPr>
        <w:t>完成工程量：土方801m</w:t>
      </w:r>
      <w:r>
        <w:rPr>
          <w:rFonts w:hint="eastAsia"/>
          <w:vertAlign w:val="superscript"/>
        </w:rPr>
        <w:t>3</w:t>
      </w:r>
      <w:r>
        <w:rPr>
          <w:rFonts w:hint="eastAsia"/>
        </w:rPr>
        <w:t>，混凝土及钢筋混凝土40m</w:t>
      </w:r>
      <w:r>
        <w:rPr>
          <w:rFonts w:hint="eastAsia"/>
          <w:vertAlign w:val="superscript"/>
        </w:rPr>
        <w:t>3</w:t>
      </w:r>
      <w:r>
        <w:rPr>
          <w:rFonts w:hint="eastAsia"/>
        </w:rPr>
        <w:t>，砌石400.4m</w:t>
      </w:r>
      <w:r>
        <w:rPr>
          <w:rFonts w:hint="eastAsia"/>
          <w:vertAlign w:val="superscript"/>
        </w:rPr>
        <w:t>3</w:t>
      </w:r>
      <w:r>
        <w:rPr>
          <w:rFonts w:hint="eastAsia"/>
        </w:rPr>
        <w:t>，总投资42万余元。</w:t>
      </w:r>
    </w:p>
    <w:p>
      <w:pPr>
        <w:pStyle w:val="4"/>
        <w:spacing w:before="165" w:after="165"/>
      </w:pPr>
      <w:r>
        <w:rPr>
          <w:rFonts w:hint="eastAsia"/>
        </w:rPr>
        <w:t>大坝历次安全鉴定情况</w:t>
      </w:r>
    </w:p>
    <w:p>
      <w:pPr>
        <w:ind w:firstLine="480"/>
      </w:pPr>
      <w:r>
        <w:rPr>
          <w:rFonts w:hint="eastAsia"/>
        </w:rPr>
        <w:t>2007年6月，周村区水务局、淄博市水利勘测设计院对东道水库大坝进行了安全检查。排查结论如下：</w:t>
      </w:r>
    </w:p>
    <w:p>
      <w:pPr>
        <w:ind w:firstLine="480"/>
      </w:pPr>
      <w:r>
        <w:rPr>
          <w:rFonts w:hint="eastAsia"/>
        </w:rPr>
        <w:t>1、水库溢洪道设计底高程94.10m与坝顶设计高程97.0m，高差为2.9m，实测溢洪道底高程与坝顶高差仅为1.7m，大坝不满足防洪标准要求。现状溢洪道宽度小于设计宽度，实际泄洪能力不满足防洪要求。</w:t>
      </w:r>
    </w:p>
    <w:p>
      <w:pPr>
        <w:ind w:firstLine="480"/>
      </w:pPr>
      <w:r>
        <w:rPr>
          <w:rFonts w:hint="eastAsia"/>
        </w:rPr>
        <w:t>2、库区两岸地面高程比大坝坝顶高程低，.受沿岸农田耕作影响，岸坡高差变化大，汛期洪水易上岸。</w:t>
      </w:r>
    </w:p>
    <w:p>
      <w:pPr>
        <w:ind w:firstLine="480"/>
      </w:pPr>
      <w:r>
        <w:rPr>
          <w:rFonts w:hint="eastAsia"/>
        </w:rPr>
        <w:t>3、溢洪道进口段断面较小，局部存在淤积，树木、杂草丛生，影响泄洪。</w:t>
      </w:r>
    </w:p>
    <w:p>
      <w:pPr>
        <w:ind w:firstLine="480"/>
      </w:pPr>
      <w:r>
        <w:rPr>
          <w:rFonts w:hint="eastAsia"/>
        </w:rPr>
        <w:t>4、水库上游护坡石破碎严重，坡面滋生杂草，临水面处护坡出现滑落，抗风浪冲刷能力差。</w:t>
      </w:r>
    </w:p>
    <w:p>
      <w:pPr>
        <w:ind w:firstLine="480"/>
      </w:pPr>
      <w:r>
        <w:rPr>
          <w:rFonts w:hint="eastAsia"/>
        </w:rPr>
        <w:t>5、水库无任何管理设施。</w:t>
      </w:r>
    </w:p>
    <w:p>
      <w:pPr>
        <w:ind w:firstLine="480"/>
      </w:pPr>
      <w:r>
        <w:rPr>
          <w:rFonts w:hint="eastAsia"/>
        </w:rPr>
        <w:t>6、鉴于水库存在安全问题，自建成以来一直未达到正常蓄水量，严重影响了水库效益的发挥。</w:t>
      </w:r>
    </w:p>
    <w:p>
      <w:pPr>
        <w:pStyle w:val="4"/>
        <w:spacing w:before="165" w:after="165"/>
      </w:pPr>
      <w:r>
        <w:rPr>
          <w:rFonts w:hint="eastAsia"/>
        </w:rPr>
        <w:t>工程存在的主要防洪安全问题</w:t>
      </w:r>
    </w:p>
    <w:p>
      <w:pPr>
        <w:ind w:firstLine="480"/>
      </w:pPr>
      <w:r>
        <w:rPr>
          <w:rFonts w:hint="eastAsia"/>
        </w:rPr>
        <w:t>溢洪道存在淤积，树木、杂草丛生，影响泄洪。</w:t>
      </w:r>
    </w:p>
    <w:p>
      <w:pPr>
        <w:pStyle w:val="4"/>
        <w:spacing w:before="165" w:after="165"/>
      </w:pPr>
      <w:r>
        <w:rPr>
          <w:rFonts w:hint="eastAsia"/>
        </w:rPr>
        <w:t>上下游工程基本情况</w:t>
      </w:r>
    </w:p>
    <w:p>
      <w:pPr>
        <w:ind w:firstLine="480"/>
      </w:pPr>
      <w:r>
        <w:rPr>
          <w:rFonts w:hint="eastAsia"/>
        </w:rPr>
        <w:t>本流域内上下游未统计到成规模的水利工程。</w:t>
      </w:r>
    </w:p>
    <w:p>
      <w:pPr>
        <w:pStyle w:val="3"/>
        <w:spacing w:before="165" w:after="165"/>
      </w:pPr>
      <w:bookmarkStart w:id="10" w:name="_Toc518843413"/>
      <w:r>
        <w:rPr>
          <w:rFonts w:hint="eastAsia"/>
        </w:rPr>
        <w:t>水文</w:t>
      </w:r>
      <w:bookmarkEnd w:id="10"/>
    </w:p>
    <w:p>
      <w:pPr>
        <w:ind w:firstLine="480"/>
      </w:pPr>
      <w:r>
        <w:rPr>
          <w:rFonts w:hint="eastAsia"/>
        </w:rPr>
        <w:t>东道水库位于周村区王村镇东道开村，范阳河支流上游，属孝妇河水系。东道水库流域为扇形低山丘陵区，间有部分山间平原，海拔高程在100~260m。流域面积为4.2km</w:t>
      </w:r>
      <w:r>
        <w:rPr>
          <w:rFonts w:hint="eastAsia"/>
          <w:vertAlign w:val="superscript"/>
        </w:rPr>
        <w:t>2</w:t>
      </w:r>
      <w:r>
        <w:rPr>
          <w:rFonts w:hint="eastAsia"/>
        </w:rPr>
        <w:t>，干流长度为3.7km，干流平均比降0.018。</w:t>
      </w:r>
    </w:p>
    <w:p>
      <w:pPr>
        <w:ind w:firstLine="480"/>
      </w:pPr>
      <w:r>
        <w:rPr>
          <w:rFonts w:hint="eastAsia"/>
        </w:rPr>
        <w:t>东道水库地处淄博市周村区中南部，属暖温带半湿润季风区大陆性气候，四季分明，雨季集中在7~8月。日照充足，年平均日照时数为2541.2h。年平均气温为13.10℃。平均地温为15℃。年平均降水量为645.5mm。主要风向为西南风，年平均相对湿度为63%。</w:t>
      </w:r>
    </w:p>
    <w:p>
      <w:pPr>
        <w:pStyle w:val="4"/>
        <w:spacing w:before="165" w:after="165"/>
      </w:pPr>
      <w:r>
        <w:rPr>
          <w:rFonts w:hint="eastAsia"/>
        </w:rPr>
        <w:t>水库所在流域暴雨、洪水特征</w:t>
      </w:r>
    </w:p>
    <w:p>
      <w:pPr>
        <w:ind w:firstLine="480"/>
      </w:pPr>
      <w:r>
        <w:rPr>
          <w:rFonts w:hint="eastAsia"/>
        </w:rPr>
        <w:t>由于区域内无实测径流资料，故按照《山东省小型水库洪水核算办法》进行计算。</w:t>
      </w:r>
    </w:p>
    <w:p>
      <w:pPr>
        <w:pStyle w:val="5"/>
        <w:spacing w:before="165" w:after="165"/>
      </w:pPr>
      <w:r>
        <w:rPr>
          <w:rFonts w:hint="eastAsia"/>
        </w:rPr>
        <w:t>流域特征参数计算</w:t>
      </w:r>
    </w:p>
    <w:p>
      <w:pPr>
        <w:ind w:firstLine="480"/>
      </w:pPr>
      <w:r>
        <w:rPr>
          <w:rFonts w:hint="eastAsia"/>
        </w:rPr>
        <w:t>本次洪水计算，首先根据淄博市1：10000地形图对东道水库流域特征进行复核。经计算、复核结果为：河流控制面积</w:t>
      </w:r>
      <w:r>
        <w:rPr>
          <w:rFonts w:hint="eastAsia"/>
          <w:i/>
        </w:rPr>
        <w:t>F</w:t>
      </w:r>
      <w:r>
        <w:rPr>
          <w:rFonts w:hint="eastAsia"/>
        </w:rPr>
        <w:t>=4.2km</w:t>
      </w:r>
      <w:r>
        <w:rPr>
          <w:rFonts w:hint="eastAsia"/>
          <w:vertAlign w:val="superscript"/>
        </w:rPr>
        <w:t>2</w:t>
      </w:r>
      <w:r>
        <w:rPr>
          <w:rFonts w:hint="eastAsia"/>
        </w:rPr>
        <w:t>，干流长3.7km。干流比降</w:t>
      </w:r>
      <w:r>
        <w:rPr>
          <w:rFonts w:hint="eastAsia"/>
          <w:i/>
        </w:rPr>
        <w:t>J</w:t>
      </w:r>
      <w:r>
        <w:rPr>
          <w:rFonts w:hint="eastAsia"/>
        </w:rPr>
        <w:t>按一下公式计算：</w:t>
      </w:r>
    </w:p>
    <w:p>
      <w:pPr>
        <w:ind w:firstLine="480"/>
        <w:rPr>
          <w:i/>
        </w:rPr>
      </w:pPr>
      <m:oMathPara>
        <m:oMath>
          <m:r>
            <m:rPr/>
            <w:rPr>
              <w:rFonts w:ascii="Cambria Math" w:hAnsi="Cambria Math" w:eastAsia="Cambria Math" w:cs="Cambria Math"/>
            </w:rPr>
            <m:t>J=</m:t>
          </m:r>
          <m:f>
            <m:fPr>
              <m:ctrlPr>
                <w:rPr>
                  <w:rFonts w:ascii="Cambria Math" w:hAnsi="Cambria Math" w:eastAsia="Cambria Math"/>
                  <w:i/>
                </w:rPr>
              </m:ctrlPr>
            </m:fPr>
            <m:num>
              <m:d>
                <m:dPr>
                  <m:begChr m:val="（"/>
                  <m:endChr m:val="）"/>
                  <m:ctrlPr>
                    <w:rPr>
                      <w:rFonts w:ascii="Cambria Math" w:hAnsi="Cambria Math" w:cs="Cambria Math" w:eastAsiaTheme="minorEastAsia"/>
                      <w:i/>
                    </w:rPr>
                  </m:ctrlPr>
                </m:dPr>
                <m:e>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0</m:t>
                      </m:r>
                      <m:ctrlPr>
                        <w:rPr>
                          <w:rFonts w:ascii="Cambria Math" w:hAnsi="Cambria Math" w:cs="Cambria Math" w:eastAsiaTheme="minorEastAsia"/>
                          <w:i/>
                        </w:rPr>
                      </m:ctrlPr>
                    </m:sub>
                  </m:sSub>
                  <m:r>
                    <m:rPr/>
                    <w:rPr>
                      <w:rFonts w:ascii="Cambria Math" w:hAnsi="Cambria Math" w:cs="Cambria Math" w:eastAsiaTheme="minorEastAsia"/>
                    </w:rPr>
                    <m:t>+</m:t>
                  </m:r>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1</m:t>
                      </m:r>
                      <m:ctrlPr>
                        <w:rPr>
                          <w:rFonts w:ascii="Cambria Math" w:hAnsi="Cambria Math" w:cs="Cambria Math" w:eastAsiaTheme="minorEastAsia"/>
                          <w:i/>
                        </w:rPr>
                      </m:ctrlPr>
                    </m:sub>
                  </m:sSub>
                  <m:ctrlPr>
                    <w:rPr>
                      <w:rFonts w:ascii="Cambria Math" w:hAnsi="Cambria Math" w:cs="Cambria Math" w:eastAsiaTheme="minorEastAsia"/>
                      <w:i/>
                    </w:rPr>
                  </m:ctrlPr>
                </m:e>
              </m:d>
              <m:sSub>
                <m:sSubPr>
                  <m:ctrlPr>
                    <w:rPr>
                      <w:rFonts w:ascii="Cambria Math" w:hAnsi="Cambria Math" w:cs="Cambria Math" w:eastAsiaTheme="minorEastAsia"/>
                      <w:i/>
                    </w:rPr>
                  </m:ctrlPr>
                </m:sSubPr>
                <m:e>
                  <m:r>
                    <m:rPr/>
                    <w:rPr>
                      <w:rFonts w:ascii="Cambria Math" w:hAnsi="Cambria Math" w:cs="Cambria Math" w:eastAsiaTheme="minorEastAsia"/>
                    </w:rPr>
                    <m:t>L</m:t>
                  </m:r>
                  <m:ctrlPr>
                    <w:rPr>
                      <w:rFonts w:ascii="Cambria Math" w:hAnsi="Cambria Math" w:cs="Cambria Math" w:eastAsiaTheme="minorEastAsia"/>
                      <w:i/>
                    </w:rPr>
                  </m:ctrlPr>
                </m:e>
                <m:sub>
                  <m:r>
                    <m:rPr/>
                    <w:rPr>
                      <w:rFonts w:ascii="Cambria Math" w:hAnsi="Cambria Math" w:cs="Cambria Math" w:eastAsiaTheme="minorEastAsia"/>
                    </w:rPr>
                    <m:t>1</m:t>
                  </m:r>
                  <m:ctrlPr>
                    <w:rPr>
                      <w:rFonts w:ascii="Cambria Math" w:hAnsi="Cambria Math" w:cs="Cambria Math" w:eastAsiaTheme="minorEastAsia"/>
                      <w:i/>
                    </w:rPr>
                  </m:ctrlPr>
                </m:sub>
              </m:sSub>
              <m:r>
                <m:rPr/>
                <w:rPr>
                  <w:rFonts w:ascii="Cambria Math" w:hAnsi="Cambria Math" w:cs="Cambria Math" w:eastAsiaTheme="minorEastAsia"/>
                </w:rPr>
                <m:t>+</m:t>
              </m:r>
              <m:d>
                <m:dPr>
                  <m:begChr m:val="（"/>
                  <m:endChr m:val="）"/>
                  <m:ctrlPr>
                    <w:rPr>
                      <w:rFonts w:ascii="Cambria Math" w:hAnsi="Cambria Math" w:cs="Cambria Math" w:eastAsiaTheme="minorEastAsia"/>
                      <w:i/>
                    </w:rPr>
                  </m:ctrlPr>
                </m:dPr>
                <m:e>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1</m:t>
                      </m:r>
                      <m:ctrlPr>
                        <w:rPr>
                          <w:rFonts w:ascii="Cambria Math" w:hAnsi="Cambria Math" w:cs="Cambria Math" w:eastAsiaTheme="minorEastAsia"/>
                          <w:i/>
                        </w:rPr>
                      </m:ctrlPr>
                    </m:sub>
                  </m:sSub>
                  <m:r>
                    <m:rPr/>
                    <w:rPr>
                      <w:rFonts w:ascii="Cambria Math" w:hAnsi="Cambria Math" w:cs="Cambria Math" w:eastAsiaTheme="minorEastAsia"/>
                    </w:rPr>
                    <m:t>+</m:t>
                  </m:r>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2</m:t>
                      </m:r>
                      <m:ctrlPr>
                        <w:rPr>
                          <w:rFonts w:ascii="Cambria Math" w:hAnsi="Cambria Math" w:cs="Cambria Math" w:eastAsiaTheme="minorEastAsia"/>
                          <w:i/>
                        </w:rPr>
                      </m:ctrlPr>
                    </m:sub>
                  </m:sSub>
                  <m:ctrlPr>
                    <w:rPr>
                      <w:rFonts w:ascii="Cambria Math" w:hAnsi="Cambria Math" w:cs="Cambria Math" w:eastAsiaTheme="minorEastAsia"/>
                      <w:i/>
                    </w:rPr>
                  </m:ctrlPr>
                </m:e>
              </m:d>
              <m:sSub>
                <m:sSubPr>
                  <m:ctrlPr>
                    <w:rPr>
                      <w:rFonts w:ascii="Cambria Math" w:hAnsi="Cambria Math" w:cs="Cambria Math" w:eastAsiaTheme="minorEastAsia"/>
                      <w:i/>
                    </w:rPr>
                  </m:ctrlPr>
                </m:sSubPr>
                <m:e>
                  <m:r>
                    <m:rPr/>
                    <w:rPr>
                      <w:rFonts w:ascii="Cambria Math" w:hAnsi="Cambria Math" w:cs="Cambria Math" w:eastAsiaTheme="minorEastAsia"/>
                    </w:rPr>
                    <m:t>L</m:t>
                  </m:r>
                  <m:ctrlPr>
                    <w:rPr>
                      <w:rFonts w:ascii="Cambria Math" w:hAnsi="Cambria Math" w:cs="Cambria Math" w:eastAsiaTheme="minorEastAsia"/>
                      <w:i/>
                    </w:rPr>
                  </m:ctrlPr>
                </m:e>
                <m:sub>
                  <m:r>
                    <m:rPr/>
                    <w:rPr>
                      <w:rFonts w:ascii="Cambria Math" w:hAnsi="Cambria Math" w:cs="Cambria Math" w:eastAsiaTheme="minorEastAsia"/>
                    </w:rPr>
                    <m:t>2</m:t>
                  </m:r>
                  <m:ctrlPr>
                    <w:rPr>
                      <w:rFonts w:ascii="Cambria Math" w:hAnsi="Cambria Math" w:cs="Cambria Math" w:eastAsiaTheme="minorEastAsia"/>
                      <w:i/>
                    </w:rPr>
                  </m:ctrlPr>
                </m:sub>
              </m:sSub>
              <m:r>
                <m:rPr/>
                <w:rPr>
                  <w:rFonts w:ascii="Cambria Math" w:hAnsi="Cambria Math" w:cs="Cambria Math" w:eastAsiaTheme="minorEastAsia"/>
                </w:rPr>
                <m:t>+……+</m:t>
              </m:r>
              <m:d>
                <m:dPr>
                  <m:begChr m:val="（"/>
                  <m:endChr m:val="）"/>
                  <m:ctrlPr>
                    <w:rPr>
                      <w:rFonts w:ascii="Cambria Math" w:hAnsi="Cambria Math" w:cs="Cambria Math" w:eastAsiaTheme="minorEastAsia"/>
                      <w:i/>
                    </w:rPr>
                  </m:ctrlPr>
                </m:dPr>
                <m:e>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n−1</m:t>
                      </m:r>
                      <m:ctrlPr>
                        <w:rPr>
                          <w:rFonts w:ascii="Cambria Math" w:hAnsi="Cambria Math" w:cs="Cambria Math" w:eastAsiaTheme="minorEastAsia"/>
                          <w:i/>
                        </w:rPr>
                      </m:ctrlPr>
                    </m:sub>
                  </m:sSub>
                  <m:r>
                    <m:rPr/>
                    <w:rPr>
                      <w:rFonts w:ascii="Cambria Math" w:hAnsi="Cambria Math" w:cs="Cambria Math" w:eastAsiaTheme="minorEastAsia"/>
                    </w:rPr>
                    <m:t>+</m:t>
                  </m:r>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n</m:t>
                      </m:r>
                      <m:ctrlPr>
                        <w:rPr>
                          <w:rFonts w:ascii="Cambria Math" w:hAnsi="Cambria Math" w:cs="Cambria Math" w:eastAsiaTheme="minorEastAsia"/>
                          <w:i/>
                        </w:rPr>
                      </m:ctrlPr>
                    </m:sub>
                  </m:sSub>
                  <m:ctrlPr>
                    <w:rPr>
                      <w:rFonts w:ascii="Cambria Math" w:hAnsi="Cambria Math" w:cs="Cambria Math" w:eastAsiaTheme="minorEastAsia"/>
                      <w:i/>
                    </w:rPr>
                  </m:ctrlPr>
                </m:e>
              </m:d>
              <m:sSub>
                <m:sSubPr>
                  <m:ctrlPr>
                    <w:rPr>
                      <w:rFonts w:ascii="Cambria Math" w:hAnsi="Cambria Math" w:cs="Cambria Math" w:eastAsiaTheme="minorEastAsia"/>
                      <w:i/>
                    </w:rPr>
                  </m:ctrlPr>
                </m:sSubPr>
                <m:e>
                  <m:r>
                    <m:rPr/>
                    <w:rPr>
                      <w:rFonts w:ascii="Cambria Math" w:hAnsi="Cambria Math" w:cs="Cambria Math" w:eastAsiaTheme="minorEastAsia"/>
                    </w:rPr>
                    <m:t>L</m:t>
                  </m:r>
                  <m:ctrlPr>
                    <w:rPr>
                      <w:rFonts w:ascii="Cambria Math" w:hAnsi="Cambria Math" w:cs="Cambria Math" w:eastAsiaTheme="minorEastAsia"/>
                      <w:i/>
                    </w:rPr>
                  </m:ctrlPr>
                </m:e>
                <m:sub>
                  <m:r>
                    <m:rPr/>
                    <w:rPr>
                      <w:rFonts w:ascii="Cambria Math" w:hAnsi="Cambria Math" w:cs="Cambria Math" w:eastAsiaTheme="minorEastAsia"/>
                    </w:rPr>
                    <m:t>n</m:t>
                  </m:r>
                  <m:ctrlPr>
                    <w:rPr>
                      <w:rFonts w:ascii="Cambria Math" w:hAnsi="Cambria Math" w:cs="Cambria Math" w:eastAsiaTheme="minorEastAsia"/>
                      <w:i/>
                    </w:rPr>
                  </m:ctrlPr>
                </m:sub>
              </m:sSub>
              <m:r>
                <m:rPr/>
                <w:rPr>
                  <w:rFonts w:ascii="Cambria Math" w:hAnsi="Cambria Math" w:cs="Cambria Math" w:eastAsiaTheme="minorEastAsia"/>
                </w:rPr>
                <m:t>−2</m:t>
              </m:r>
              <m:sSub>
                <m:sSubPr>
                  <m:ctrlPr>
                    <w:rPr>
                      <w:rFonts w:ascii="Cambria Math" w:hAnsi="Cambria Math" w:cs="Cambria Math" w:eastAsiaTheme="minorEastAsia"/>
                      <w:i/>
                    </w:rPr>
                  </m:ctrlPr>
                </m:sSubPr>
                <m:e>
                  <m:r>
                    <m:rPr/>
                    <w:rPr>
                      <w:rFonts w:ascii="Cambria Math" w:hAnsi="Cambria Math" w:cs="Cambria Math" w:eastAsiaTheme="minorEastAsia"/>
                    </w:rPr>
                    <m:t>Z</m:t>
                  </m:r>
                  <m:ctrlPr>
                    <w:rPr>
                      <w:rFonts w:ascii="Cambria Math" w:hAnsi="Cambria Math" w:cs="Cambria Math" w:eastAsiaTheme="minorEastAsia"/>
                      <w:i/>
                    </w:rPr>
                  </m:ctrlPr>
                </m:e>
                <m:sub>
                  <m:r>
                    <m:rPr/>
                    <w:rPr>
                      <w:rFonts w:ascii="Cambria Math" w:hAnsi="Cambria Math" w:cs="Cambria Math" w:eastAsiaTheme="minorEastAsia"/>
                    </w:rPr>
                    <m:t>0</m:t>
                  </m:r>
                  <m:ctrlPr>
                    <w:rPr>
                      <w:rFonts w:ascii="Cambria Math" w:hAnsi="Cambria Math" w:cs="Cambria Math" w:eastAsiaTheme="minorEastAsia"/>
                      <w:i/>
                    </w:rPr>
                  </m:ctrlPr>
                </m:sub>
              </m:sSub>
              <m:r>
                <m:rPr/>
                <w:rPr>
                  <w:rFonts w:ascii="Cambria Math" w:hAnsi="Cambria Math" w:cs="Cambria Math" w:eastAsiaTheme="minorEastAsia"/>
                </w:rPr>
                <m:t>L</m:t>
              </m:r>
              <m:ctrlPr>
                <w:rPr>
                  <w:rFonts w:ascii="Cambria Math" w:hAnsi="Cambria Math" w:eastAsia="Cambria Math"/>
                  <w:i/>
                </w:rPr>
              </m:ctrlPr>
            </m:num>
            <m:den>
              <m:sSup>
                <m:sSupPr>
                  <m:ctrlPr>
                    <w:rPr>
                      <w:rFonts w:ascii="Cambria Math" w:hAnsi="Cambria Math" w:eastAsia="Cambria Math" w:cs="Cambria Math"/>
                      <w:i/>
                    </w:rPr>
                  </m:ctrlPr>
                </m:sSupPr>
                <m:e>
                  <m:r>
                    <m:rPr/>
                    <w:rPr>
                      <w:rFonts w:ascii="Cambria Math" w:hAnsi="Cambria Math" w:eastAsia="Cambria Math" w:cs="Cambria Math"/>
                    </w:rPr>
                    <m:t>L</m:t>
                  </m:r>
                  <m:ctrlPr>
                    <w:rPr>
                      <w:rFonts w:ascii="Cambria Math" w:hAnsi="Cambria Math" w:eastAsia="Cambria Math" w:cs="Cambria Math"/>
                      <w:i/>
                    </w:rPr>
                  </m:ctrlPr>
                </m:e>
                <m:sup>
                  <m:r>
                    <m:rPr/>
                    <w:rPr>
                      <w:rFonts w:ascii="Cambria Math" w:hAnsi="Cambria Math" w:eastAsia="Cambria Math" w:cs="Cambria Math"/>
                    </w:rPr>
                    <m:t>2</m:t>
                  </m:r>
                  <m:ctrlPr>
                    <w:rPr>
                      <w:rFonts w:ascii="Cambria Math" w:hAnsi="Cambria Math" w:eastAsia="Cambria Math" w:cs="Cambria Math"/>
                      <w:i/>
                    </w:rPr>
                  </m:ctrlPr>
                </m:sup>
              </m:sSup>
              <m:ctrlPr>
                <w:rPr>
                  <w:rFonts w:ascii="Cambria Math" w:hAnsi="Cambria Math" w:eastAsia="Cambria Math"/>
                  <w:i/>
                </w:rPr>
              </m:ctrlPr>
            </m:den>
          </m:f>
        </m:oMath>
      </m:oMathPara>
    </w:p>
    <w:p>
      <w:pPr>
        <w:ind w:firstLine="480"/>
      </w:pPr>
      <w:r>
        <w:rPr>
          <w:rFonts w:hint="eastAsia"/>
        </w:rPr>
        <w:t>式中：</w:t>
      </w:r>
    </w:p>
    <w:p>
      <w:pPr>
        <w:ind w:firstLine="480"/>
      </w:pPr>
      <w:r>
        <w:rPr>
          <w:rFonts w:hint="eastAsia"/>
          <w:i/>
        </w:rPr>
        <w:t>Z</w:t>
      </w:r>
      <w:r>
        <w:rPr>
          <w:rFonts w:hint="eastAsia"/>
          <w:i/>
          <w:vertAlign w:val="subscript"/>
        </w:rPr>
        <w:t>1</w:t>
      </w:r>
      <w:r>
        <w:rPr>
          <w:rFonts w:hint="eastAsia"/>
          <w:i/>
        </w:rPr>
        <w:t>、Z</w:t>
      </w:r>
      <w:r>
        <w:rPr>
          <w:rFonts w:hint="eastAsia"/>
          <w:i/>
          <w:vertAlign w:val="subscript"/>
        </w:rPr>
        <w:t>2</w:t>
      </w:r>
      <w:r>
        <w:rPr>
          <w:rFonts w:hint="eastAsia"/>
          <w:i/>
        </w:rPr>
        <w:t>、……Z</w:t>
      </w:r>
      <w:r>
        <w:rPr>
          <w:rFonts w:hint="eastAsia"/>
          <w:i/>
          <w:vertAlign w:val="subscript"/>
        </w:rPr>
        <w:t>n</w:t>
      </w:r>
      <w:r>
        <w:rPr>
          <w:rFonts w:hint="eastAsia"/>
        </w:rPr>
        <w:t>：自出口断面起沿流程各特征地面点的高程；</w:t>
      </w:r>
    </w:p>
    <w:p>
      <w:pPr>
        <w:ind w:firstLine="480"/>
      </w:pPr>
      <w:r>
        <w:rPr>
          <w:rFonts w:hint="eastAsia"/>
          <w:i/>
        </w:rPr>
        <w:t>L</w:t>
      </w:r>
      <w:r>
        <w:rPr>
          <w:rFonts w:hint="eastAsia"/>
          <w:i/>
          <w:vertAlign w:val="subscript"/>
        </w:rPr>
        <w:t>1</w:t>
      </w:r>
      <w:r>
        <w:rPr>
          <w:rFonts w:hint="eastAsia"/>
          <w:i/>
        </w:rPr>
        <w:t>、L</w:t>
      </w:r>
      <w:r>
        <w:rPr>
          <w:rFonts w:hint="eastAsia"/>
          <w:i/>
          <w:vertAlign w:val="subscript"/>
        </w:rPr>
        <w:t>2</w:t>
      </w:r>
      <w:r>
        <w:rPr>
          <w:rFonts w:hint="eastAsia"/>
          <w:i/>
        </w:rPr>
        <w:t>、……L</w:t>
      </w:r>
      <w:r>
        <w:rPr>
          <w:rFonts w:hint="eastAsia"/>
          <w:i/>
          <w:vertAlign w:val="subscript"/>
        </w:rPr>
        <w:t>n</w:t>
      </w:r>
      <w:r>
        <w:rPr>
          <w:rFonts w:hint="eastAsia"/>
        </w:rPr>
        <w:t>：各特征点间的距离；</w:t>
      </w:r>
    </w:p>
    <w:p>
      <w:pPr>
        <w:ind w:firstLine="480"/>
      </w:pPr>
      <w:r>
        <w:rPr>
          <w:rFonts w:hint="eastAsia"/>
          <w:i/>
        </w:rPr>
        <w:t>L</w:t>
      </w:r>
      <w:r>
        <w:rPr>
          <w:rFonts w:hint="eastAsia"/>
        </w:rPr>
        <w:t>：干流长度。</w:t>
      </w:r>
    </w:p>
    <w:p>
      <w:pPr>
        <w:ind w:firstLine="480"/>
      </w:pPr>
      <w:r>
        <w:rPr>
          <w:rFonts w:hint="eastAsia"/>
        </w:rPr>
        <w:t>将个特征点高程及相互之间的距离带入公式计算得</w:t>
      </w:r>
    </w:p>
    <w:p>
      <w:pPr>
        <w:ind w:firstLine="480"/>
        <w:jc w:val="center"/>
        <w:rPr>
          <w:i/>
        </w:rPr>
      </w:pPr>
      <w:r>
        <w:rPr>
          <w:rFonts w:hint="eastAsia"/>
          <w:i/>
        </w:rPr>
        <w:t>J=</w:t>
      </w:r>
      <w:r>
        <w:rPr>
          <w:rFonts w:hint="eastAsia"/>
        </w:rPr>
        <w:t>0.018（m/m）</w:t>
      </w:r>
    </w:p>
    <w:p>
      <w:pPr>
        <w:ind w:firstLine="480"/>
      </w:pPr>
      <w:r>
        <w:rPr>
          <w:rFonts w:hint="eastAsia"/>
        </w:rPr>
        <w:t>流域特征综合参数按下列公式计算：</w:t>
      </w:r>
    </w:p>
    <w:p>
      <w:pPr>
        <w:ind w:firstLine="480"/>
        <w:rPr>
          <w:i/>
        </w:rPr>
      </w:pPr>
      <m:oMathPara>
        <m:oMath>
          <m:r>
            <m:rPr/>
            <w:rPr>
              <w:rFonts w:ascii="Cambria Math" w:hAnsi="Cambria Math" w:eastAsia="Cambria Math" w:cs="Cambria Math"/>
            </w:rPr>
            <m:t>K=</m:t>
          </m:r>
          <m:f>
            <m:fPr>
              <m:ctrlPr>
                <w:rPr>
                  <w:rFonts w:ascii="Cambria Math" w:hAnsi="Cambria Math" w:eastAsia="Cambria Math"/>
                  <w:i/>
                </w:rPr>
              </m:ctrlPr>
            </m:fPr>
            <m:num>
              <m:r>
                <m:rPr/>
                <w:rPr>
                  <w:rFonts w:ascii="Cambria Math" w:hAnsi="Cambria Math" w:eastAsia="Cambria Math" w:cs="Cambria Math"/>
                </w:rPr>
                <m:t>L</m:t>
              </m:r>
              <m:ctrlPr>
                <w:rPr>
                  <w:rFonts w:ascii="Cambria Math" w:hAnsi="Cambria Math" w:eastAsia="Cambria Math"/>
                  <w:i/>
                </w:rPr>
              </m:ctrlPr>
            </m:num>
            <m:den>
              <m:sSup>
                <m:sSupPr>
                  <m:ctrlPr>
                    <w:rPr>
                      <w:rFonts w:ascii="Cambria Math" w:hAnsi="Cambria Math" w:eastAsia="Cambria Math" w:cs="Cambria Math"/>
                      <w:i/>
                    </w:rPr>
                  </m:ctrlPr>
                </m:sSupPr>
                <m:e>
                  <m:r>
                    <m:rPr/>
                    <w:rPr>
                      <w:rFonts w:ascii="Cambria Math" w:hAnsi="Cambria Math" w:eastAsia="Cambria Math" w:cs="Cambria Math"/>
                    </w:rPr>
                    <m:t>J</m:t>
                  </m:r>
                  <m:ctrlPr>
                    <w:rPr>
                      <w:rFonts w:ascii="Cambria Math" w:hAnsi="Cambria Math" w:eastAsia="Cambria Math" w:cs="Cambria Math"/>
                      <w:i/>
                    </w:rPr>
                  </m:ctrlPr>
                </m:e>
                <m:sup>
                  <m:f>
                    <m:fPr>
                      <m:ctrlPr>
                        <w:rPr>
                          <w:rFonts w:ascii="Cambria Math" w:hAnsi="Cambria Math" w:eastAsia="Cambria Math" w:cs="Cambria Math"/>
                          <w:i/>
                        </w:rPr>
                      </m:ctrlPr>
                    </m:fPr>
                    <m:num>
                      <m:r>
                        <m:rPr/>
                        <w:rPr>
                          <w:rFonts w:ascii="Cambria Math" w:hAnsi="Cambria Math" w:eastAsia="Cambria Math" w:cs="Cambria Math"/>
                        </w:rPr>
                        <m:t>1</m:t>
                      </m:r>
                      <m:ctrlPr>
                        <w:rPr>
                          <w:rFonts w:ascii="Cambria Math" w:hAnsi="Cambria Math" w:eastAsia="Cambria Math" w:cs="Cambria Math"/>
                          <w:i/>
                        </w:rPr>
                      </m:ctrlPr>
                    </m:num>
                    <m:den>
                      <m:r>
                        <m:rPr/>
                        <w:rPr>
                          <w:rFonts w:ascii="Cambria Math" w:hAnsi="Cambria Math" w:eastAsia="Cambria Math" w:cs="Cambria Math"/>
                        </w:rPr>
                        <m:t>3</m:t>
                      </m:r>
                      <m:ctrlPr>
                        <w:rPr>
                          <w:rFonts w:ascii="Cambria Math" w:hAnsi="Cambria Math" w:eastAsia="Cambria Math" w:cs="Cambria Math"/>
                          <w:i/>
                        </w:rPr>
                      </m:ctrlPr>
                    </m:den>
                  </m:f>
                  <m:ctrlPr>
                    <w:rPr>
                      <w:rFonts w:ascii="Cambria Math" w:hAnsi="Cambria Math" w:eastAsia="Cambria Math" w:cs="Cambria Math"/>
                      <w:i/>
                    </w:rPr>
                  </m:ctrlPr>
                </m:sup>
              </m:sSup>
              <m:r>
                <m:rPr/>
                <w:rPr>
                  <w:rFonts w:ascii="Cambria Math" w:hAnsi="Cambria Math" w:eastAsia="Cambria Math" w:cs="Cambria Math"/>
                </w:rPr>
                <m:t>∙</m:t>
              </m:r>
              <m:sSup>
                <m:sSupPr>
                  <m:ctrlPr>
                    <w:rPr>
                      <w:rFonts w:ascii="Cambria Math" w:hAnsi="Cambria Math" w:eastAsia="Cambria Math" w:cs="Cambria Math"/>
                      <w:i/>
                    </w:rPr>
                  </m:ctrlPr>
                </m:sSupPr>
                <m:e>
                  <m:r>
                    <m:rPr/>
                    <w:rPr>
                      <w:rFonts w:ascii="Cambria Math" w:hAnsi="Cambria Math" w:eastAsia="Cambria Math" w:cs="Cambria Math"/>
                    </w:rPr>
                    <m:t>F</m:t>
                  </m:r>
                  <m:ctrlPr>
                    <w:rPr>
                      <w:rFonts w:ascii="Cambria Math" w:hAnsi="Cambria Math" w:eastAsia="Cambria Math" w:cs="Cambria Math"/>
                      <w:i/>
                    </w:rPr>
                  </m:ctrlPr>
                </m:e>
                <m:sup>
                  <m:f>
                    <m:fPr>
                      <m:ctrlPr>
                        <w:rPr>
                          <w:rFonts w:ascii="Cambria Math" w:hAnsi="Cambria Math" w:eastAsia="Cambria Math" w:cs="Cambria Math"/>
                          <w:i/>
                        </w:rPr>
                      </m:ctrlPr>
                    </m:fPr>
                    <m:num>
                      <m:r>
                        <m:rPr/>
                        <w:rPr>
                          <w:rFonts w:ascii="Cambria Math" w:hAnsi="Cambria Math" w:eastAsia="Cambria Math" w:cs="Cambria Math"/>
                        </w:rPr>
                        <m:t>2</m:t>
                      </m:r>
                      <m:ctrlPr>
                        <w:rPr>
                          <w:rFonts w:ascii="Cambria Math" w:hAnsi="Cambria Math" w:eastAsia="Cambria Math" w:cs="Cambria Math"/>
                          <w:i/>
                        </w:rPr>
                      </m:ctrlPr>
                    </m:num>
                    <m:den>
                      <m:r>
                        <m:rPr/>
                        <w:rPr>
                          <w:rFonts w:ascii="Cambria Math" w:hAnsi="Cambria Math" w:eastAsia="Cambria Math" w:cs="Cambria Math"/>
                        </w:rPr>
                        <m:t>5</m:t>
                      </m:r>
                      <m:ctrlPr>
                        <w:rPr>
                          <w:rFonts w:ascii="Cambria Math" w:hAnsi="Cambria Math" w:eastAsia="Cambria Math" w:cs="Cambria Math"/>
                          <w:i/>
                        </w:rPr>
                      </m:ctrlPr>
                    </m:den>
                  </m:f>
                  <m:ctrlPr>
                    <w:rPr>
                      <w:rFonts w:ascii="Cambria Math" w:hAnsi="Cambria Math" w:eastAsia="Cambria Math" w:cs="Cambria Math"/>
                      <w:i/>
                    </w:rPr>
                  </m:ctrlPr>
                </m:sup>
              </m:sSup>
              <m:ctrlPr>
                <w:rPr>
                  <w:rFonts w:ascii="Cambria Math" w:hAnsi="Cambria Math" w:eastAsia="Cambria Math"/>
                  <w:i/>
                </w:rPr>
              </m:ctrlPr>
            </m:den>
          </m:f>
        </m:oMath>
      </m:oMathPara>
    </w:p>
    <w:p>
      <w:pPr>
        <w:ind w:firstLine="480"/>
      </w:pPr>
      <w:r>
        <w:rPr>
          <w:rFonts w:hint="eastAsia"/>
        </w:rPr>
        <w:t>式中：</w:t>
      </w:r>
    </w:p>
    <w:p>
      <w:pPr>
        <w:ind w:firstLine="480"/>
      </w:pPr>
      <w:r>
        <w:rPr>
          <w:rFonts w:hint="eastAsia"/>
          <w:i/>
        </w:rPr>
        <w:t>L</w:t>
      </w:r>
      <w:r>
        <w:rPr>
          <w:rFonts w:hint="eastAsia"/>
        </w:rPr>
        <w:t>：干流长度，3.7km；</w:t>
      </w:r>
    </w:p>
    <w:p>
      <w:pPr>
        <w:ind w:firstLine="480"/>
      </w:pPr>
      <w:r>
        <w:rPr>
          <w:rFonts w:hint="eastAsia"/>
          <w:i/>
        </w:rPr>
        <w:t>F</w:t>
      </w:r>
      <w:r>
        <w:rPr>
          <w:rFonts w:hint="eastAsia"/>
        </w:rPr>
        <w:t>：控制流域面积，4.2km</w:t>
      </w:r>
      <w:r>
        <w:rPr>
          <w:rFonts w:hint="eastAsia"/>
          <w:vertAlign w:val="superscript"/>
        </w:rPr>
        <w:t>2</w:t>
      </w:r>
      <w:r>
        <w:rPr>
          <w:rFonts w:hint="eastAsia"/>
        </w:rPr>
        <w:t>；</w:t>
      </w:r>
    </w:p>
    <w:p>
      <w:pPr>
        <w:ind w:firstLine="480"/>
      </w:pPr>
      <w:r>
        <w:rPr>
          <w:rFonts w:hint="eastAsia"/>
          <w:i/>
        </w:rPr>
        <w:t>J</w:t>
      </w:r>
      <w:r>
        <w:rPr>
          <w:rFonts w:hint="eastAsia"/>
        </w:rPr>
        <w:t>：干流比降，0.018（m/m）</w:t>
      </w:r>
    </w:p>
    <w:p>
      <w:pPr>
        <w:ind w:firstLine="480"/>
      </w:pPr>
      <w:r>
        <w:rPr>
          <w:rFonts w:hint="eastAsia"/>
        </w:rPr>
        <w:t>代入公式计算得：</w:t>
      </w:r>
    </w:p>
    <w:p>
      <w:pPr>
        <w:ind w:firstLine="480"/>
        <w:jc w:val="center"/>
      </w:pPr>
      <w:r>
        <w:rPr>
          <w:rFonts w:hint="eastAsia"/>
          <w:i/>
        </w:rPr>
        <w:t>K</w:t>
      </w:r>
      <w:r>
        <w:rPr>
          <w:rFonts w:hint="eastAsia"/>
        </w:rPr>
        <w:t>=7.95</w:t>
      </w:r>
    </w:p>
    <w:p>
      <w:pPr>
        <w:pStyle w:val="5"/>
        <w:spacing w:before="165" w:after="165"/>
      </w:pPr>
      <w:r>
        <w:rPr>
          <w:rFonts w:hint="eastAsia"/>
        </w:rPr>
        <w:t>各频率下24h降雨量得推求</w:t>
      </w:r>
    </w:p>
    <w:p>
      <w:pPr>
        <w:ind w:firstLine="480"/>
      </w:pPr>
      <w:r>
        <w:t>东道水库工程地点</w:t>
      </w:r>
      <w:r>
        <w:rPr>
          <w:rFonts w:hint="eastAsia"/>
        </w:rPr>
        <w:t>属</w:t>
      </w:r>
      <w:r>
        <w:t>泰沂山北</w:t>
      </w:r>
      <w:r>
        <w:rPr>
          <w:rFonts w:hint="eastAsia"/>
        </w:rPr>
        <w:t>山</w:t>
      </w:r>
      <w:r>
        <w:t>区，根据《山东省小型水库洪水核算办法》查</w:t>
      </w:r>
      <w:r>
        <w:rPr>
          <w:rFonts w:hint="eastAsia"/>
        </w:rPr>
        <w:t>“</w:t>
      </w:r>
      <w:r>
        <w:t>山东省多年平均二十四小时暴雨等值线图</w:t>
      </w:r>
      <w:r>
        <w:rPr>
          <w:rFonts w:hint="eastAsia"/>
        </w:rPr>
        <w:t>”</w:t>
      </w:r>
      <w:r>
        <w:t>可得工程地点以上流域中心多年平均最大24</w:t>
      </w:r>
      <w:r>
        <w:rPr>
          <w:rFonts w:hint="eastAsia"/>
        </w:rPr>
        <w:t>小时</w:t>
      </w:r>
      <w:r>
        <w:t>降雨量为</w:t>
      </w:r>
      <m:oMath>
        <m:bar>
          <m:barPr>
            <m:pos m:val="top"/>
            <m:ctrlPr>
              <w:rPr>
                <w:rFonts w:ascii="Cambria Math" w:hAnsi="Cambria Math"/>
                <w:i/>
              </w:rPr>
            </m:ctrlPr>
          </m:barPr>
          <m:e>
            <m:r>
              <m:rPr/>
              <w:rPr>
                <w:rFonts w:ascii="Cambria Math" w:hAnsi="Cambria Math"/>
              </w:rPr>
              <m:t>H</m:t>
            </m:r>
            <m:ctrlPr>
              <w:rPr>
                <w:rFonts w:ascii="Cambria Math" w:hAnsi="Cambria Math"/>
                <w:i/>
              </w:rPr>
            </m:ctrlPr>
          </m:e>
        </m:bar>
      </m:oMath>
      <w:r>
        <w:rPr>
          <w:rFonts w:hint="eastAsia"/>
        </w:rPr>
        <w:t xml:space="preserve"> =</w:t>
      </w:r>
      <w:r>
        <w:t>8</w:t>
      </w:r>
      <w:r>
        <w:rPr>
          <w:rFonts w:hint="eastAsia"/>
        </w:rPr>
        <w:t>5</w:t>
      </w:r>
      <w:r>
        <w:t>mm，查“东省最大二十四小时暴雨变差系数</w:t>
      </w:r>
      <w:r>
        <w:rPr>
          <w:rFonts w:hint="eastAsia"/>
        </w:rPr>
        <w:t>（Cv）</w:t>
      </w:r>
      <w:r>
        <w:t>等值线图”可得变差系数C</w:t>
      </w:r>
      <w:r>
        <w:rPr>
          <w:rFonts w:hint="eastAsia"/>
        </w:rPr>
        <w:t>v=</w:t>
      </w:r>
      <w:r>
        <w:t>0</w:t>
      </w:r>
      <w:r>
        <w:rPr>
          <w:rFonts w:hint="eastAsia"/>
        </w:rPr>
        <w:t>.58</w:t>
      </w:r>
      <w:r>
        <w:t>，采用Cs</w:t>
      </w:r>
      <w:r>
        <w:rPr>
          <w:rFonts w:hint="eastAsia"/>
        </w:rPr>
        <w:t>=</w:t>
      </w:r>
      <w:r>
        <w:t>3</w:t>
      </w:r>
      <w:r>
        <w:rPr>
          <w:rFonts w:hint="eastAsia"/>
        </w:rPr>
        <w:t>.</w:t>
      </w:r>
      <w:r>
        <w:t>5Cv，应用皮尔逊</w:t>
      </w:r>
      <w:r>
        <w:rPr>
          <w:rFonts w:hint="eastAsia"/>
        </w:rPr>
        <w:t>Ⅲ</w:t>
      </w:r>
      <w:r>
        <w:t>型频率曲线</w:t>
      </w:r>
      <w:r>
        <w:rPr>
          <w:rFonts w:hint="eastAsia"/>
        </w:rPr>
        <w:t>K</w:t>
      </w:r>
      <w:r>
        <w:rPr>
          <w:rFonts w:hint="eastAsia"/>
          <w:vertAlign w:val="subscript"/>
        </w:rPr>
        <w:t>P</w:t>
      </w:r>
      <w:r>
        <w:rPr>
          <w:rFonts w:hint="eastAsia"/>
        </w:rPr>
        <w:t>值表查得</w:t>
      </w:r>
      <w:r>
        <w:t>20</w:t>
      </w:r>
      <w:r>
        <w:rPr>
          <w:rFonts w:hint="eastAsia"/>
        </w:rPr>
        <w:t>年一遇、2</w:t>
      </w:r>
      <w:r>
        <w:t>00</w:t>
      </w:r>
      <w:r>
        <w:rPr>
          <w:rFonts w:hint="eastAsia"/>
        </w:rPr>
        <w:t>年一遇的</w:t>
      </w:r>
      <w:r>
        <w:rPr>
          <w:i/>
        </w:rPr>
        <w:t>K</w:t>
      </w:r>
      <w:r>
        <w:rPr>
          <w:i/>
          <w:vertAlign w:val="subscript"/>
        </w:rPr>
        <w:t>P</w:t>
      </w:r>
      <w:r>
        <w:rPr>
          <w:rFonts w:hint="eastAsia"/>
        </w:rPr>
        <w:t>值分别为</w:t>
      </w:r>
      <w:r>
        <w:t>2.16</w:t>
      </w:r>
      <w:r>
        <w:rPr>
          <w:rFonts w:hint="eastAsia"/>
        </w:rPr>
        <w:t>、</w:t>
      </w:r>
      <w:r>
        <w:t>3.</w:t>
      </w:r>
      <w:r>
        <w:rPr>
          <w:rFonts w:hint="eastAsia"/>
        </w:rPr>
        <w:t>51。则设计标准最大</w:t>
      </w:r>
      <w:r>
        <w:t xml:space="preserve">24 </w:t>
      </w:r>
      <w:r>
        <w:rPr>
          <w:rFonts w:hint="eastAsia"/>
        </w:rPr>
        <w:t>小时降雨量：</w:t>
      </w:r>
    </w:p>
    <w:p>
      <w:pPr>
        <w:ind w:firstLine="480"/>
        <w:rPr>
          <w:i/>
        </w:rPr>
      </w:pPr>
      <m:oMathPara>
        <m:oMath>
          <m:r>
            <m:rPr>
              <m:nor/>
            </m:rPr>
            <w:rPr>
              <w:rFonts w:hint="eastAsia"/>
              <w:i/>
            </w:rPr>
            <m:t>H</m:t>
          </m:r>
          <m:r>
            <m:rPr/>
            <w:rPr>
              <w:rFonts w:ascii="Cambria Math" w:hAnsi="Cambria Math" w:eastAsia="Cambria Math"/>
            </w:rPr>
            <m:t>=</m:t>
          </m:r>
          <m:bar>
            <m:barPr>
              <m:pos m:val="top"/>
              <m:ctrlPr>
                <w:rPr>
                  <w:rFonts w:ascii="Cambria Math" w:hAnsi="Cambria Math" w:eastAsia="Cambria Math"/>
                  <w:i/>
                </w:rPr>
              </m:ctrlPr>
            </m:barPr>
            <m:e>
              <m:r>
                <m:rPr/>
                <w:rPr>
                  <w:rFonts w:ascii="Cambria Math" w:hAnsi="Cambria Math" w:eastAsia="Cambria Math"/>
                </w:rPr>
                <m:t>H</m:t>
              </m:r>
              <m:ctrlPr>
                <w:rPr>
                  <w:rFonts w:ascii="Cambria Math" w:hAnsi="Cambria Math" w:eastAsia="Cambria Math"/>
                  <w:i/>
                </w:rPr>
              </m:ctrlPr>
            </m:e>
          </m:bar>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p</m:t>
              </m:r>
              <m:ctrlPr>
                <w:rPr>
                  <w:rFonts w:ascii="Cambria Math" w:hAnsi="Cambria Math"/>
                  <w:i/>
                </w:rPr>
              </m:ctrlPr>
            </m:sub>
          </m:sSub>
        </m:oMath>
      </m:oMathPara>
    </w:p>
    <w:p>
      <w:pPr>
        <w:tabs>
          <w:tab w:val="left" w:pos="3366"/>
        </w:tabs>
        <w:ind w:firstLine="480"/>
      </w:pPr>
      <w:r>
        <w:rPr>
          <w:rFonts w:hint="eastAsia"/>
        </w:rPr>
        <w:t>式中：</w:t>
      </w:r>
      <w:r>
        <w:tab/>
      </w:r>
    </w:p>
    <w:p>
      <w:pPr>
        <w:ind w:firstLine="480"/>
      </w:pPr>
      <m:oMath>
        <m:bar>
          <m:barPr>
            <m:pos m:val="top"/>
            <m:ctrlPr>
              <w:rPr>
                <w:rFonts w:ascii="Cambria Math" w:hAnsi="Cambria Math" w:eastAsia="Cambria Math"/>
                <w:i/>
              </w:rPr>
            </m:ctrlPr>
          </m:barPr>
          <m:e>
            <m:r>
              <m:rPr/>
              <w:rPr>
                <w:rFonts w:ascii="Cambria Math" w:hAnsi="Cambria Math" w:eastAsia="Cambria Math"/>
              </w:rPr>
              <m:t>H</m:t>
            </m:r>
            <m:ctrlPr>
              <w:rPr>
                <w:rFonts w:ascii="Cambria Math" w:hAnsi="Cambria Math" w:eastAsia="Cambria Math"/>
                <w:i/>
              </w:rPr>
            </m:ctrlPr>
          </m:e>
        </m:bar>
      </m:oMath>
      <w:r>
        <w:rPr>
          <w:rFonts w:hint="eastAsia"/>
        </w:rPr>
        <w:t>：多年平均最大24小时降雨量，85mm；</w:t>
      </w:r>
    </w:p>
    <w:p>
      <w:pPr>
        <w:ind w:firstLine="480"/>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P</m:t>
            </m:r>
            <m:ctrlPr>
              <w:rPr>
                <w:rFonts w:ascii="Cambria Math" w:hAnsi="Cambria Math"/>
                <w:i/>
              </w:rPr>
            </m:ctrlPr>
          </m:sub>
        </m:sSub>
      </m:oMath>
      <w:r>
        <w:rPr>
          <w:rFonts w:hint="eastAsia"/>
        </w:rPr>
        <w:t>：</w:t>
      </w:r>
      <w:r>
        <w:t xml:space="preserve"> 2.16</w:t>
      </w:r>
      <w:r>
        <w:rPr>
          <w:rFonts w:hint="eastAsia"/>
        </w:rPr>
        <w:t>（</w:t>
      </w:r>
      <w:r>
        <w:t>P=5%</w:t>
      </w:r>
      <w:r>
        <w:rPr>
          <w:rFonts w:hint="eastAsia"/>
        </w:rPr>
        <w:t>）、</w:t>
      </w:r>
      <w:r>
        <w:t>3.</w:t>
      </w:r>
      <w:r>
        <w:rPr>
          <w:rFonts w:hint="eastAsia"/>
        </w:rPr>
        <w:t>51（</w:t>
      </w:r>
      <w:r>
        <w:t>P=</w:t>
      </w:r>
      <w:r>
        <w:rPr>
          <w:rFonts w:hint="eastAsia"/>
        </w:rPr>
        <w:t>0.5</w:t>
      </w:r>
      <w:r>
        <w:t>%</w:t>
      </w:r>
      <w:r>
        <w:rPr>
          <w:rFonts w:hint="eastAsia"/>
        </w:rPr>
        <w:t>）</w:t>
      </w:r>
    </w:p>
    <w:p>
      <w:pPr>
        <w:ind w:firstLine="480"/>
      </w:pPr>
      <w:r>
        <w:rPr>
          <w:rFonts w:hint="eastAsia"/>
        </w:rPr>
        <w:t>计算的小尚水库流域不同设计频率的最大</w:t>
      </w:r>
      <w:r>
        <w:t>24</w:t>
      </w:r>
      <w:r>
        <w:rPr>
          <w:rFonts w:hint="eastAsia"/>
        </w:rPr>
        <w:t>小时降雨量为</w:t>
      </w:r>
    </w:p>
    <w:p>
      <w:pPr>
        <w:ind w:firstLine="480"/>
      </w:pPr>
      <w:r>
        <w:rPr>
          <w:i/>
        </w:rPr>
        <w:t>H</w:t>
      </w:r>
      <w:r>
        <w:rPr>
          <w:i/>
          <w:vertAlign w:val="subscript"/>
        </w:rPr>
        <w:t>24P=5%</w:t>
      </w:r>
      <w:r>
        <w:t>=8</w:t>
      </w:r>
      <w:r>
        <w:rPr>
          <w:rFonts w:hint="eastAsia"/>
        </w:rPr>
        <w:t>5×</w:t>
      </w:r>
      <w:r>
        <w:t>2.16=</w:t>
      </w:r>
      <w:r>
        <w:rPr>
          <w:rFonts w:hint="eastAsia"/>
        </w:rPr>
        <w:t>183.6</w:t>
      </w:r>
      <w:r>
        <w:t>mm</w:t>
      </w:r>
    </w:p>
    <w:p>
      <w:pPr>
        <w:ind w:firstLine="480"/>
      </w:pPr>
      <w:r>
        <w:rPr>
          <w:i/>
        </w:rPr>
        <w:t>H</w:t>
      </w:r>
      <w:r>
        <w:rPr>
          <w:i/>
          <w:vertAlign w:val="subscript"/>
        </w:rPr>
        <w:t>24P=</w:t>
      </w:r>
      <w:r>
        <w:rPr>
          <w:rFonts w:hint="eastAsia"/>
          <w:i/>
          <w:vertAlign w:val="subscript"/>
        </w:rPr>
        <w:t>0.5</w:t>
      </w:r>
      <w:r>
        <w:rPr>
          <w:i/>
          <w:vertAlign w:val="subscript"/>
        </w:rPr>
        <w:t>%</w:t>
      </w:r>
      <w:r>
        <w:t>=8</w:t>
      </w:r>
      <w:r>
        <w:rPr>
          <w:rFonts w:hint="eastAsia"/>
        </w:rPr>
        <w:t>5×3.51</w:t>
      </w:r>
      <w:r>
        <w:t>=</w:t>
      </w:r>
      <w:r>
        <w:rPr>
          <w:rFonts w:hint="eastAsia"/>
        </w:rPr>
        <w:t>298.35</w:t>
      </w:r>
      <w:r>
        <w:t>mm</w:t>
      </w:r>
    </w:p>
    <w:p>
      <w:pPr>
        <w:pStyle w:val="5"/>
        <w:spacing w:before="165" w:after="165"/>
      </w:pPr>
      <w:r>
        <w:rPr>
          <w:rFonts w:hint="eastAsia"/>
        </w:rPr>
        <w:t>各频率下洪峰流量的推求</w:t>
      </w:r>
    </w:p>
    <w:p>
      <w:pPr>
        <w:ind w:firstLine="480"/>
      </w:pPr>
      <w:r>
        <w:rPr>
          <w:rFonts w:hint="eastAsia"/>
        </w:rPr>
        <w:t>该流域属于泰沂山北丘陵区。东道水库流域特征综合参数K=7.95，20年、200年一遇最大24小时降雨量分别为183.60mm、263.5mm，查泰沂山北丘陵区</w:t>
      </w:r>
      <w:r>
        <w:rPr>
          <w:rFonts w:hint="eastAsia"/>
          <w:i/>
        </w:rPr>
        <w:t>q</w:t>
      </w:r>
      <w:r>
        <w:rPr>
          <w:rFonts w:hint="eastAsia"/>
          <w:i/>
          <w:vertAlign w:val="subscript"/>
        </w:rPr>
        <w:t>m</w:t>
      </w:r>
      <w:r>
        <w:rPr>
          <w:rFonts w:hint="eastAsia"/>
          <w:i/>
        </w:rPr>
        <w:t>~H</w:t>
      </w:r>
      <w:r>
        <w:rPr>
          <w:rFonts w:hint="eastAsia"/>
          <w:i/>
          <w:vertAlign w:val="subscript"/>
        </w:rPr>
        <w:t>24</w:t>
      </w:r>
      <w:r>
        <w:rPr>
          <w:rFonts w:hint="eastAsia"/>
          <w:i/>
        </w:rPr>
        <w:t>~K</w:t>
      </w:r>
      <w:r>
        <w:rPr>
          <w:rFonts w:hint="eastAsia"/>
        </w:rPr>
        <w:t>关系曲线，得出20年、200年一遇单位面积洪峰流量模数为：</w:t>
      </w:r>
    </w:p>
    <w:p>
      <w:pPr>
        <w:ind w:firstLine="480"/>
      </w:pPr>
      <w:r>
        <w:rPr>
          <w:rFonts w:hint="eastAsia"/>
          <w:i/>
        </w:rPr>
        <w:t>q</w:t>
      </w:r>
      <w:r>
        <w:rPr>
          <w:rFonts w:hint="eastAsia"/>
          <w:i/>
          <w:vertAlign w:val="subscript"/>
        </w:rPr>
        <w:t>m5%</w:t>
      </w:r>
      <w:r>
        <w:rPr>
          <w:rFonts w:hint="eastAsia"/>
        </w:rPr>
        <w:t>=10m</w:t>
      </w:r>
      <w:r>
        <w:rPr>
          <w:rFonts w:hint="eastAsia"/>
          <w:vertAlign w:val="superscript"/>
        </w:rPr>
        <w:t>3</w:t>
      </w:r>
      <w:r>
        <w:rPr>
          <w:rFonts w:hint="eastAsia"/>
        </w:rPr>
        <w:t>/（km</w:t>
      </w:r>
      <w:r>
        <w:rPr>
          <w:rFonts w:hint="eastAsia"/>
          <w:vertAlign w:val="superscript"/>
        </w:rPr>
        <w:t>2</w:t>
      </w:r>
      <w:r>
        <w:rPr>
          <w:rFonts w:hint="eastAsia"/>
        </w:rPr>
        <w:t>·s）</w:t>
      </w:r>
    </w:p>
    <w:p>
      <w:pPr>
        <w:ind w:firstLine="480"/>
      </w:pPr>
      <w:r>
        <w:rPr>
          <w:rFonts w:hint="eastAsia"/>
          <w:i/>
        </w:rPr>
        <w:t>q</w:t>
      </w:r>
      <w:r>
        <w:rPr>
          <w:rFonts w:hint="eastAsia"/>
          <w:i/>
          <w:vertAlign w:val="subscript"/>
        </w:rPr>
        <w:t>m0.5%</w:t>
      </w:r>
      <w:r>
        <w:rPr>
          <w:rFonts w:hint="eastAsia"/>
          <w:i/>
        </w:rPr>
        <w:t>=</w:t>
      </w:r>
      <w:r>
        <w:rPr>
          <w:rFonts w:hint="eastAsia"/>
        </w:rPr>
        <w:t>18.5m</w:t>
      </w:r>
      <w:r>
        <w:rPr>
          <w:rFonts w:hint="eastAsia"/>
          <w:vertAlign w:val="superscript"/>
        </w:rPr>
        <w:t>3</w:t>
      </w:r>
      <w:r>
        <w:rPr>
          <w:rFonts w:hint="eastAsia"/>
        </w:rPr>
        <w:t>/（km</w:t>
      </w:r>
      <w:r>
        <w:rPr>
          <w:rFonts w:hint="eastAsia"/>
          <w:vertAlign w:val="superscript"/>
        </w:rPr>
        <w:t>2</w:t>
      </w:r>
      <w:r>
        <w:rPr>
          <w:rFonts w:hint="eastAsia"/>
        </w:rPr>
        <w:t>·s）</w:t>
      </w:r>
    </w:p>
    <w:p>
      <w:pPr>
        <w:ind w:firstLine="480"/>
      </w:pPr>
      <w:r>
        <w:rPr>
          <w:rFonts w:hint="eastAsia"/>
        </w:rPr>
        <w:t>各频率最大洪峰流量为：</w:t>
      </w:r>
    </w:p>
    <w:p>
      <w:pPr>
        <w:ind w:firstLine="480"/>
        <w:jc w:val="center"/>
        <w:rPr>
          <w:i/>
        </w:rPr>
      </w:pPr>
      <w:r>
        <w:rPr>
          <w:rFonts w:hint="eastAsia"/>
          <w:i/>
        </w:rPr>
        <w:t>Q</w:t>
      </w:r>
      <w:r>
        <w:rPr>
          <w:rFonts w:hint="eastAsia"/>
          <w:i/>
          <w:vertAlign w:val="subscript"/>
        </w:rPr>
        <w:t>m</w:t>
      </w:r>
      <w:r>
        <w:rPr>
          <w:rFonts w:hint="eastAsia"/>
          <w:i/>
        </w:rPr>
        <w:t>=q</w:t>
      </w:r>
      <w:r>
        <w:rPr>
          <w:rFonts w:hint="eastAsia"/>
          <w:i/>
          <w:vertAlign w:val="subscript"/>
        </w:rPr>
        <w:t>m</w:t>
      </w:r>
      <w:r>
        <w:rPr>
          <w:rFonts w:hint="eastAsia"/>
          <w:i/>
        </w:rPr>
        <w:t>×F</w:t>
      </w:r>
    </w:p>
    <w:p>
      <w:pPr>
        <w:ind w:firstLine="480"/>
      </w:pPr>
      <w:r>
        <w:rPr>
          <w:rFonts w:hint="eastAsia"/>
        </w:rPr>
        <w:t>式中：</w:t>
      </w:r>
    </w:p>
    <w:p>
      <w:pPr>
        <w:ind w:firstLine="480"/>
      </w:pPr>
      <w:r>
        <w:rPr>
          <w:rFonts w:hint="eastAsia"/>
          <w:i/>
        </w:rPr>
        <w:t>q</w:t>
      </w:r>
      <w:r>
        <w:rPr>
          <w:rFonts w:hint="eastAsia"/>
          <w:i/>
          <w:vertAlign w:val="subscript"/>
        </w:rPr>
        <w:t>m</w:t>
      </w:r>
      <w:r>
        <w:rPr>
          <w:rFonts w:hint="eastAsia"/>
        </w:rPr>
        <w:t>：各涉及频率单位面积洪峰流量模数；</w:t>
      </w:r>
    </w:p>
    <w:p>
      <w:pPr>
        <w:ind w:firstLine="480"/>
      </w:pPr>
      <w:r>
        <w:rPr>
          <w:rFonts w:hint="eastAsia"/>
          <w:i/>
        </w:rPr>
        <w:t>F</w:t>
      </w:r>
      <w:r>
        <w:rPr>
          <w:rFonts w:hint="eastAsia"/>
        </w:rPr>
        <w:t>：控制流域面积，4.2km</w:t>
      </w:r>
      <w:r>
        <w:rPr>
          <w:rFonts w:hint="eastAsia"/>
          <w:vertAlign w:val="superscript"/>
        </w:rPr>
        <w:t>2</w:t>
      </w:r>
      <w:r>
        <w:rPr>
          <w:rFonts w:hint="eastAsia"/>
        </w:rPr>
        <w:t>。</w:t>
      </w:r>
    </w:p>
    <w:p>
      <w:pPr>
        <w:ind w:firstLine="480"/>
      </w:pPr>
      <w:r>
        <w:rPr>
          <w:rFonts w:hint="eastAsia"/>
        </w:rPr>
        <w:t>带入公式得：</w:t>
      </w:r>
    </w:p>
    <w:p>
      <w:pPr>
        <w:ind w:firstLine="480"/>
      </w:pPr>
      <w:r>
        <w:rPr>
          <w:rFonts w:hint="eastAsia"/>
          <w:i/>
        </w:rPr>
        <w:t>Q</w:t>
      </w:r>
      <w:r>
        <w:rPr>
          <w:rFonts w:hint="eastAsia"/>
          <w:i/>
          <w:vertAlign w:val="subscript"/>
        </w:rPr>
        <w:t>m5%</w:t>
      </w:r>
      <w:r>
        <w:rPr>
          <w:rFonts w:hint="eastAsia"/>
        </w:rPr>
        <w:t>=10×4.2=42.0m</w:t>
      </w:r>
      <w:r>
        <w:rPr>
          <w:rFonts w:hint="eastAsia"/>
          <w:vertAlign w:val="superscript"/>
        </w:rPr>
        <w:t>3</w:t>
      </w:r>
      <w:r>
        <w:rPr>
          <w:rFonts w:hint="eastAsia"/>
        </w:rPr>
        <w:t>/s</w:t>
      </w:r>
    </w:p>
    <w:p>
      <w:pPr>
        <w:ind w:firstLine="480"/>
      </w:pPr>
      <w:r>
        <w:rPr>
          <w:rFonts w:hint="eastAsia"/>
          <w:i/>
        </w:rPr>
        <w:t>Q</w:t>
      </w:r>
      <w:r>
        <w:rPr>
          <w:rFonts w:hint="eastAsia"/>
          <w:i/>
          <w:vertAlign w:val="subscript"/>
        </w:rPr>
        <w:t>m0.5%</w:t>
      </w:r>
      <w:r>
        <w:rPr>
          <w:rFonts w:hint="eastAsia"/>
        </w:rPr>
        <w:t>=18.5×4.2=77.7m</w:t>
      </w:r>
      <w:r>
        <w:rPr>
          <w:rFonts w:hint="eastAsia"/>
          <w:vertAlign w:val="superscript"/>
        </w:rPr>
        <w:t>3</w:t>
      </w:r>
      <w:r>
        <w:rPr>
          <w:rFonts w:hint="eastAsia"/>
        </w:rPr>
        <w:t>/s</w:t>
      </w:r>
    </w:p>
    <w:p>
      <w:pPr>
        <w:pStyle w:val="5"/>
        <w:spacing w:before="165" w:after="165"/>
      </w:pPr>
      <w:r>
        <w:rPr>
          <w:rFonts w:hint="eastAsia"/>
        </w:rPr>
        <w:t>洪水总量的推求</w:t>
      </w:r>
    </w:p>
    <w:p>
      <w:pPr>
        <w:ind w:firstLine="480"/>
      </w:pPr>
      <w:r>
        <w:rPr>
          <w:rFonts w:hint="eastAsia"/>
        </w:rPr>
        <w:t>根据《山东省小型水库洪水核算办法》，查得工程前期影响雨量为Pa=40mm，20年、200年一遇最大24小时暴雨量分别为183.6rnm，298.35mm，其中75%分别为137.7mm、223.76mm，加上前期影响雨量Pa=40mm分别得177.7mrn，263.76mm，查P+Pa~h</w:t>
      </w:r>
      <w:r>
        <w:rPr>
          <w:rFonts w:hint="eastAsia"/>
          <w:vertAlign w:val="subscript"/>
        </w:rPr>
        <w:t>r</w:t>
      </w:r>
      <w:r>
        <w:rPr>
          <w:rFonts w:hint="eastAsia"/>
        </w:rPr>
        <w:t>降雨径流关系曲线得出净雨分别为100mm、205mrn，则洪水总量按下式计算：</w:t>
      </w:r>
    </w:p>
    <w:p>
      <w:pPr>
        <w:ind w:firstLine="480"/>
        <w:jc w:val="center"/>
        <w:rPr>
          <w:i/>
        </w:rPr>
      </w:pPr>
      <w:r>
        <w:rPr>
          <w:rFonts w:hint="eastAsia"/>
          <w:i/>
        </w:rPr>
        <w:t>W=0.1×h</w:t>
      </w:r>
      <w:r>
        <w:rPr>
          <w:rFonts w:hint="eastAsia"/>
          <w:i/>
          <w:vertAlign w:val="subscript"/>
        </w:rPr>
        <w:t>r</w:t>
      </w:r>
      <w:r>
        <w:rPr>
          <w:rFonts w:hint="eastAsia"/>
          <w:i/>
        </w:rPr>
        <w:t>×F</w:t>
      </w:r>
    </w:p>
    <w:p>
      <w:pPr>
        <w:ind w:firstLine="480"/>
      </w:pPr>
      <w:r>
        <w:rPr>
          <w:rFonts w:hint="eastAsia"/>
        </w:rPr>
        <w:t>式中：</w:t>
      </w:r>
    </w:p>
    <w:p>
      <w:pPr>
        <w:ind w:firstLine="480"/>
      </w:pPr>
      <w:r>
        <w:rPr>
          <w:rFonts w:hint="eastAsia"/>
          <w:i/>
        </w:rPr>
        <w:t>h</w:t>
      </w:r>
      <w:r>
        <w:rPr>
          <w:rFonts w:hint="eastAsia"/>
          <w:i/>
          <w:vertAlign w:val="subscript"/>
        </w:rPr>
        <w:t>r</w:t>
      </w:r>
      <w:r>
        <w:rPr>
          <w:rFonts w:hint="eastAsia"/>
        </w:rPr>
        <w:t>：各频率下的净雨，100mm（20年一遇）、175mm（200年一遇）；</w:t>
      </w:r>
    </w:p>
    <w:p>
      <w:pPr>
        <w:ind w:firstLine="480"/>
      </w:pPr>
      <w:r>
        <w:rPr>
          <w:rFonts w:hint="eastAsia"/>
          <w:i/>
        </w:rPr>
        <w:t>F</w:t>
      </w:r>
      <w:r>
        <w:rPr>
          <w:rFonts w:hint="eastAsia"/>
        </w:rPr>
        <w:t>：控制流域面积4.2km</w:t>
      </w:r>
      <w:r>
        <w:rPr>
          <w:rFonts w:hint="eastAsia"/>
          <w:vertAlign w:val="superscript"/>
        </w:rPr>
        <w:t>2</w:t>
      </w:r>
      <w:r>
        <w:rPr>
          <w:rFonts w:hint="eastAsia"/>
        </w:rPr>
        <w:t>。</w:t>
      </w:r>
    </w:p>
    <w:p>
      <w:pPr>
        <w:ind w:firstLine="480"/>
      </w:pPr>
      <w:r>
        <w:rPr>
          <w:rFonts w:hint="eastAsia"/>
        </w:rPr>
        <w:t>带入公式中计算得：</w:t>
      </w:r>
    </w:p>
    <w:p>
      <w:pPr>
        <w:ind w:firstLine="480"/>
      </w:pPr>
      <w:r>
        <w:rPr>
          <w:rFonts w:hint="eastAsia"/>
          <w:i/>
        </w:rPr>
        <w:t>W</w:t>
      </w:r>
      <w:r>
        <w:rPr>
          <w:rFonts w:hint="eastAsia"/>
          <w:i/>
          <w:vertAlign w:val="subscript"/>
        </w:rPr>
        <w:t>2%</w:t>
      </w:r>
      <w:r>
        <w:rPr>
          <w:rFonts w:hint="eastAsia"/>
        </w:rPr>
        <w:t>=0.1×100×4.2=42万m</w:t>
      </w:r>
      <w:r>
        <w:rPr>
          <w:rFonts w:hint="eastAsia"/>
          <w:vertAlign w:val="superscript"/>
        </w:rPr>
        <w:t>3</w:t>
      </w:r>
      <w:r>
        <w:rPr>
          <w:rFonts w:hint="eastAsia"/>
        </w:rPr>
        <w:t>；</w:t>
      </w:r>
    </w:p>
    <w:p>
      <w:pPr>
        <w:ind w:firstLine="480"/>
      </w:pPr>
      <w:r>
        <w:rPr>
          <w:rFonts w:hint="eastAsia"/>
          <w:i/>
        </w:rPr>
        <w:t>W</w:t>
      </w:r>
      <w:r>
        <w:rPr>
          <w:rFonts w:hint="eastAsia"/>
          <w:i/>
          <w:vertAlign w:val="subscript"/>
        </w:rPr>
        <w:t>0.5%</w:t>
      </w:r>
      <w:r>
        <w:rPr>
          <w:rFonts w:hint="eastAsia"/>
        </w:rPr>
        <w:t>=0.1×205×4.2=86.1万m</w:t>
      </w:r>
      <w:r>
        <w:rPr>
          <w:rFonts w:hint="eastAsia"/>
          <w:vertAlign w:val="superscript"/>
        </w:rPr>
        <w:t>3</w:t>
      </w:r>
    </w:p>
    <w:p>
      <w:pPr>
        <w:pStyle w:val="5"/>
        <w:spacing w:before="165" w:after="165"/>
      </w:pPr>
      <w:r>
        <w:rPr>
          <w:rFonts w:hint="eastAsia"/>
        </w:rPr>
        <w:t>洪水过程推求</w:t>
      </w:r>
    </w:p>
    <w:p>
      <w:pPr>
        <w:ind w:firstLine="480"/>
        <w:rPr>
          <w:rFonts w:ascii="宋体" w:hAnsi="宋体" w:cs="宋体"/>
          <w:kern w:val="0"/>
        </w:rPr>
      </w:pPr>
      <w:r>
        <w:rPr>
          <w:rFonts w:hint="eastAsia" w:ascii="宋体" w:hAnsi="宋体" w:cs="宋体"/>
          <w:kern w:val="0"/>
        </w:rPr>
        <w:t>根据《山东小型水库洪水核算办法》，洪水过程为三角形，洪水历时T（即三角形过程的底宽）按下式计算：</w:t>
      </w:r>
    </w:p>
    <w:p>
      <w:pPr>
        <w:ind w:firstLine="480"/>
        <w:rPr>
          <w:rFonts w:ascii="宋体" w:hAnsi="宋体" w:cs="宋体"/>
          <w:i/>
          <w:kern w:val="0"/>
        </w:rPr>
      </w:pPr>
      <m:oMathPara>
        <m:oMath>
          <m:r>
            <m:rPr/>
            <w:rPr>
              <w:rFonts w:ascii="Cambria Math" w:hAnsi="Cambria Math" w:eastAsia="Cambria Math" w:cs="Cambria Math"/>
              <w:kern w:val="0"/>
            </w:rPr>
            <m:t>T=</m:t>
          </m:r>
          <m:f>
            <m:fPr>
              <m:ctrlPr>
                <w:rPr>
                  <w:rFonts w:ascii="Cambria Math" w:hAnsi="Cambria Math" w:eastAsia="Cambria Math" w:cs="宋体"/>
                  <w:i/>
                  <w:kern w:val="0"/>
                </w:rPr>
              </m:ctrlPr>
            </m:fPr>
            <m:num>
              <m:r>
                <m:rPr/>
                <w:rPr>
                  <w:rFonts w:ascii="Cambria Math" w:hAnsi="Cambria Math" w:eastAsia="Cambria Math" w:cs="Cambria Math"/>
                  <w:kern w:val="0"/>
                </w:rPr>
                <m:t>W</m:t>
              </m:r>
              <m:ctrlPr>
                <w:rPr>
                  <w:rFonts w:ascii="Cambria Math" w:hAnsi="Cambria Math" w:eastAsia="Cambria Math" w:cs="宋体"/>
                  <w:i/>
                  <w:kern w:val="0"/>
                </w:rPr>
              </m:ctrlPr>
            </m:num>
            <m:den>
              <m:r>
                <m:rPr/>
                <w:rPr>
                  <w:rFonts w:ascii="Cambria Math" w:hAnsi="Cambria Math" w:eastAsia="Cambria Math" w:cs="Cambria Math"/>
                  <w:kern w:val="0"/>
                </w:rPr>
                <m:t>1800</m:t>
              </m:r>
              <m:sSub>
                <m:sSubPr>
                  <m:ctrlPr>
                    <w:rPr>
                      <w:rFonts w:ascii="Cambria Math" w:hAnsi="Cambria Math" w:eastAsia="Cambria Math" w:cs="Cambria Math"/>
                      <w:i/>
                      <w:kern w:val="0"/>
                    </w:rPr>
                  </m:ctrlPr>
                </m:sSubPr>
                <m:e>
                  <m:r>
                    <m:rPr/>
                    <w:rPr>
                      <w:rFonts w:ascii="Cambria Math" w:hAnsi="Cambria Math" w:eastAsia="Cambria Math" w:cs="Cambria Math"/>
                      <w:kern w:val="0"/>
                    </w:rPr>
                    <m:t>Q</m:t>
                  </m:r>
                  <m:ctrlPr>
                    <w:rPr>
                      <w:rFonts w:ascii="Cambria Math" w:hAnsi="Cambria Math" w:eastAsia="Cambria Math" w:cs="Cambria Math"/>
                      <w:i/>
                      <w:kern w:val="0"/>
                    </w:rPr>
                  </m:ctrlPr>
                </m:e>
                <m:sub>
                  <m:r>
                    <m:rPr/>
                    <w:rPr>
                      <w:rFonts w:ascii="Cambria Math" w:hAnsi="Cambria Math" w:eastAsia="Cambria Math" w:cs="Cambria Math"/>
                      <w:kern w:val="0"/>
                    </w:rPr>
                    <m:t>m</m:t>
                  </m:r>
                  <m:ctrlPr>
                    <w:rPr>
                      <w:rFonts w:ascii="Cambria Math" w:hAnsi="Cambria Math" w:eastAsia="Cambria Math" w:cs="Cambria Math"/>
                      <w:i/>
                      <w:kern w:val="0"/>
                    </w:rPr>
                  </m:ctrlPr>
                </m:sub>
              </m:sSub>
              <m:ctrlPr>
                <w:rPr>
                  <w:rFonts w:ascii="Cambria Math" w:hAnsi="Cambria Math" w:eastAsia="Cambria Math" w:cs="宋体"/>
                  <w:i/>
                  <w:kern w:val="0"/>
                </w:rPr>
              </m:ctrlPr>
            </m:den>
          </m:f>
        </m:oMath>
      </m:oMathPara>
    </w:p>
    <w:p>
      <w:pPr>
        <w:ind w:firstLine="480"/>
      </w:pPr>
      <w:r>
        <w:rPr>
          <w:rFonts w:hint="eastAsia"/>
        </w:rPr>
        <w:t>式中：</w:t>
      </w:r>
    </w:p>
    <w:p>
      <w:pPr>
        <w:ind w:firstLine="480"/>
      </w:pPr>
      <w:r>
        <w:rPr>
          <w:rFonts w:hint="eastAsia"/>
          <w:i/>
        </w:rPr>
        <w:t>W</w:t>
      </w:r>
      <w:r>
        <w:rPr>
          <w:rFonts w:hint="eastAsia"/>
        </w:rPr>
        <w:t>：设计标准洪水总量，21万m</w:t>
      </w:r>
      <w:r>
        <w:rPr>
          <w:rFonts w:hint="eastAsia"/>
          <w:vertAlign w:val="superscript"/>
        </w:rPr>
        <w:t>3</w:t>
      </w:r>
      <w:r>
        <w:rPr>
          <w:rFonts w:hint="eastAsia"/>
        </w:rPr>
        <w:t>（20年一遇）、73.5万m</w:t>
      </w:r>
      <w:r>
        <w:rPr>
          <w:rFonts w:hint="eastAsia"/>
          <w:vertAlign w:val="superscript"/>
        </w:rPr>
        <w:t>3</w:t>
      </w:r>
      <w:r>
        <w:rPr>
          <w:rFonts w:hint="eastAsia"/>
        </w:rPr>
        <w:t>（200年一遇）；</w:t>
      </w:r>
    </w:p>
    <w:p>
      <w:pPr>
        <w:ind w:firstLine="480"/>
      </w:pPr>
      <w:r>
        <w:rPr>
          <w:i/>
        </w:rPr>
        <w:t>Q</w:t>
      </w:r>
      <w:r>
        <w:rPr>
          <w:rFonts w:hint="eastAsia"/>
          <w:i/>
          <w:vertAlign w:val="subscript"/>
        </w:rPr>
        <w:t>m</w:t>
      </w:r>
      <w:r>
        <w:rPr>
          <w:rFonts w:hint="eastAsia"/>
        </w:rPr>
        <w:t>：设计标准最大洪峰流量，42.0m</w:t>
      </w:r>
      <w:r>
        <w:rPr>
          <w:rFonts w:hint="eastAsia"/>
          <w:vertAlign w:val="superscript"/>
        </w:rPr>
        <w:t>3</w:t>
      </w:r>
      <w:r>
        <w:rPr>
          <w:rFonts w:hint="eastAsia"/>
        </w:rPr>
        <w:t>/s（20年一遇）、77.7m</w:t>
      </w:r>
      <w:r>
        <w:rPr>
          <w:rFonts w:hint="eastAsia"/>
          <w:vertAlign w:val="superscript"/>
        </w:rPr>
        <w:t>3</w:t>
      </w:r>
      <w:r>
        <w:rPr>
          <w:rFonts w:hint="eastAsia"/>
        </w:rPr>
        <w:t>/s（200年一遇）。</w:t>
      </w:r>
    </w:p>
    <w:p>
      <w:pPr>
        <w:ind w:firstLine="480"/>
      </w:pPr>
      <w:r>
        <w:rPr>
          <w:rFonts w:hint="eastAsia"/>
        </w:rPr>
        <w:t>带入公式计算得：</w:t>
      </w:r>
    </w:p>
    <w:p>
      <w:pPr>
        <w:ind w:firstLine="480"/>
      </w:pPr>
      <w:r>
        <w:rPr>
          <w:rFonts w:hint="eastAsia"/>
        </w:rPr>
        <w:t>T</w:t>
      </w:r>
      <w:r>
        <w:rPr>
          <w:rFonts w:hint="eastAsia"/>
          <w:vertAlign w:val="subscript"/>
        </w:rPr>
        <w:t>5%</w:t>
      </w:r>
      <w:r>
        <w:rPr>
          <w:rFonts w:hint="eastAsia"/>
        </w:rPr>
        <w:t>=2.7（小时）</w:t>
      </w:r>
    </w:p>
    <w:p>
      <w:pPr>
        <w:ind w:firstLine="480"/>
      </w:pPr>
      <w:r>
        <w:rPr>
          <w:rFonts w:hint="eastAsia"/>
        </w:rPr>
        <w:t>T</w:t>
      </w:r>
      <w:r>
        <w:rPr>
          <w:rFonts w:hint="eastAsia"/>
          <w:vertAlign w:val="subscript"/>
        </w:rPr>
        <w:t>0.5%</w:t>
      </w:r>
      <w:r>
        <w:rPr>
          <w:rFonts w:hint="eastAsia"/>
        </w:rPr>
        <w:t>=5.25（小时）</w:t>
      </w:r>
    </w:p>
    <w:p>
      <w:pPr>
        <w:ind w:firstLine="480"/>
      </w:pPr>
      <w:r>
        <w:rPr>
          <w:rFonts w:hint="eastAsia"/>
        </w:rPr>
        <w:t>涨洪历时为三分之一</w:t>
      </w:r>
      <w:r>
        <w:rPr>
          <w:rFonts w:hint="eastAsia"/>
          <w:i/>
        </w:rPr>
        <w:t>T</w:t>
      </w:r>
      <w:r>
        <w:rPr>
          <w:rFonts w:hint="eastAsia"/>
        </w:rPr>
        <w:t>，即最大洪峰流量</w:t>
      </w:r>
      <w:r>
        <w:rPr>
          <w:rFonts w:hint="eastAsia"/>
          <w:i/>
        </w:rPr>
        <w:t>Q</w:t>
      </w:r>
      <w:r>
        <w:rPr>
          <w:rFonts w:hint="eastAsia"/>
          <w:i/>
          <w:vertAlign w:val="subscript"/>
        </w:rPr>
        <w:t>m</w:t>
      </w:r>
      <w:r>
        <w:rPr>
          <w:rFonts w:hint="eastAsia"/>
        </w:rPr>
        <w:t>出现在三分之一</w:t>
      </w:r>
      <w:r>
        <w:rPr>
          <w:rFonts w:hint="eastAsia"/>
          <w:i/>
        </w:rPr>
        <w:t>T</w:t>
      </w:r>
      <w:r>
        <w:rPr>
          <w:rFonts w:hint="eastAsia"/>
        </w:rPr>
        <w:t>的地方，即20年一遇、200年一遇分别为0.9小时、1.75小时。</w:t>
      </w:r>
    </w:p>
    <w:p>
      <w:pPr>
        <w:pStyle w:val="5"/>
        <w:spacing w:before="165" w:after="165"/>
      </w:pPr>
      <w:r>
        <w:rPr>
          <w:rFonts w:hint="eastAsia"/>
        </w:rPr>
        <w:t>调洪演算</w:t>
      </w:r>
    </w:p>
    <w:p>
      <w:pPr>
        <w:ind w:firstLine="480"/>
      </w:pPr>
      <w:r>
        <w:rPr>
          <w:rFonts w:hint="eastAsia"/>
        </w:rPr>
        <w:t>起调水位为溢洪道底高程94.10m，调洪计算采用图解法。</w:t>
      </w:r>
    </w:p>
    <w:p>
      <w:pPr>
        <w:ind w:firstLine="480"/>
      </w:pPr>
      <w:r>
        <w:rPr>
          <w:rFonts w:hint="eastAsia"/>
        </w:rPr>
        <w:t>图解法计算步骤如下：</w:t>
      </w:r>
    </w:p>
    <w:p>
      <w:pPr>
        <w:ind w:firstLine="480"/>
      </w:pPr>
      <w:r>
        <w:rPr>
          <w:rFonts w:hint="eastAsia"/>
        </w:rPr>
        <w:t>（1）根据水库的水位~泄量关系曲线和水位~库容曲线以及堰顶以上的调洪库容</w:t>
      </w:r>
      <w:r>
        <w:rPr>
          <w:rFonts w:hint="eastAsia"/>
          <w:i/>
        </w:rPr>
        <w:t>V</w:t>
      </w:r>
      <w:r>
        <w:rPr>
          <w:rFonts w:hint="eastAsia"/>
          <w:i/>
          <w:vertAlign w:val="subscript"/>
        </w:rPr>
        <w:t>调洪</w:t>
      </w:r>
      <w:r>
        <w:rPr>
          <w:rFonts w:hint="eastAsia"/>
        </w:rPr>
        <w:t>，与下泄流量</w:t>
      </w:r>
      <w:r>
        <w:rPr>
          <w:rFonts w:hint="eastAsia"/>
          <w:i/>
        </w:rPr>
        <w:t>q</w:t>
      </w:r>
      <w:r>
        <w:rPr>
          <w:rFonts w:hint="eastAsia"/>
          <w:i/>
          <w:vertAlign w:val="subscript"/>
        </w:rPr>
        <w:t>泄</w:t>
      </w:r>
      <w:r>
        <w:rPr>
          <w:rFonts w:hint="eastAsia"/>
        </w:rPr>
        <w:t>。的关系曲线，将</w:t>
      </w:r>
      <w:r>
        <w:rPr>
          <w:rFonts w:hint="eastAsia"/>
          <w:i/>
        </w:rPr>
        <w:t>V</w:t>
      </w:r>
      <w:r>
        <w:rPr>
          <w:rFonts w:hint="eastAsia"/>
          <w:i/>
          <w:vertAlign w:val="subscript"/>
        </w:rPr>
        <w:t>调洪</w:t>
      </w:r>
      <w:r>
        <w:rPr>
          <w:rFonts w:hint="eastAsia"/>
        </w:rPr>
        <w:t>，与</w:t>
      </w:r>
      <w:r>
        <w:rPr>
          <w:rFonts w:hint="eastAsia"/>
          <w:i/>
        </w:rPr>
        <w:t>q</w:t>
      </w:r>
      <w:r>
        <w:rPr>
          <w:rFonts w:hint="eastAsia"/>
          <w:i/>
          <w:vertAlign w:val="subscript"/>
        </w:rPr>
        <w:t>泄</w:t>
      </w:r>
      <w:r>
        <w:rPr>
          <w:rFonts w:hint="eastAsia"/>
        </w:rPr>
        <w:t>曲线绘在图的左方，其右方绘制入库洪水过程线Q~T。</w:t>
      </w:r>
    </w:p>
    <w:p>
      <w:pPr>
        <w:ind w:firstLine="480"/>
      </w:pPr>
      <w:r>
        <w:rPr>
          <w:rFonts w:hint="eastAsia"/>
        </w:rPr>
        <w:t>（2）在</w:t>
      </w:r>
      <w:r>
        <w:rPr>
          <w:rFonts w:hint="eastAsia"/>
          <w:i/>
        </w:rPr>
        <w:t>V</w:t>
      </w:r>
      <w:r>
        <w:rPr>
          <w:rFonts w:hint="eastAsia"/>
          <w:i/>
          <w:vertAlign w:val="subscript"/>
        </w:rPr>
        <w:t>调洪</w:t>
      </w:r>
      <w:r>
        <w:rPr>
          <w:rFonts w:hint="eastAsia"/>
        </w:rPr>
        <w:t>坐标轴上取一点A，使OA等于洪水总量，过</w:t>
      </w:r>
      <w:r>
        <w:rPr>
          <w:rFonts w:hint="eastAsia"/>
          <w:i/>
        </w:rPr>
        <w:t>Q</w:t>
      </w:r>
      <w:r>
        <w:rPr>
          <w:rFonts w:hint="eastAsia"/>
          <w:i/>
          <w:vertAlign w:val="subscript"/>
        </w:rPr>
        <w:t>m</w:t>
      </w:r>
      <w:r>
        <w:rPr>
          <w:rFonts w:hint="eastAsia"/>
        </w:rPr>
        <w:t>作水平线交纵坐标轴于B。</w:t>
      </w:r>
    </w:p>
    <w:p>
      <w:pPr>
        <w:ind w:firstLine="480"/>
      </w:pPr>
      <w:r>
        <w:rPr>
          <w:rFonts w:hint="eastAsia"/>
        </w:rPr>
        <w:t>（3）连接AB，交</w:t>
      </w:r>
      <w:r>
        <w:rPr>
          <w:rFonts w:hint="eastAsia"/>
          <w:i/>
        </w:rPr>
        <w:t>V</w:t>
      </w:r>
      <w:r>
        <w:rPr>
          <w:rFonts w:hint="eastAsia"/>
          <w:i/>
          <w:vertAlign w:val="subscript"/>
        </w:rPr>
        <w:t>调洪</w:t>
      </w:r>
      <w:r>
        <w:rPr>
          <w:rFonts w:hint="eastAsia"/>
          <w:i/>
        </w:rPr>
        <w:t>~q</w:t>
      </w:r>
      <w:r>
        <w:rPr>
          <w:rFonts w:hint="eastAsia"/>
          <w:i/>
          <w:vertAlign w:val="subscript"/>
        </w:rPr>
        <w:t>泄</w:t>
      </w:r>
      <w:r>
        <w:rPr>
          <w:rFonts w:hint="eastAsia"/>
        </w:rPr>
        <w:t>曲线于D。</w:t>
      </w:r>
    </w:p>
    <w:p>
      <w:pPr>
        <w:ind w:firstLine="480"/>
      </w:pPr>
      <w:r>
        <w:rPr>
          <w:rFonts w:hint="eastAsia"/>
        </w:rPr>
        <w:t>（4）过D点作水平线交洪水过程线</w:t>
      </w:r>
      <w:r>
        <w:rPr>
          <w:rFonts w:hint="eastAsia"/>
          <w:i/>
        </w:rPr>
        <w:t>Q~T</w:t>
      </w:r>
      <w:r>
        <w:rPr>
          <w:rFonts w:hint="eastAsia"/>
        </w:rPr>
        <w:t>的退水段于C，则C点的纵坐标则是相应于不同设计频率的最大泄量，D点的横坐标则是相应的调洪库容。</w:t>
      </w:r>
    </w:p>
    <w:p>
      <w:pPr>
        <w:ind w:firstLine="480"/>
      </w:pPr>
      <w:r>
        <w:rPr>
          <w:rFonts w:hint="eastAsia"/>
        </w:rPr>
        <w:t>（5）由水位—库容关系曲线查得不同设计频率的洪水位。</w:t>
      </w:r>
    </w:p>
    <w:p>
      <w:pPr>
        <w:ind w:firstLine="482"/>
        <w:rPr>
          <w:b/>
        </w:rPr>
      </w:pPr>
      <w:r>
        <w:rPr>
          <w:rFonts w:hint="eastAsia"/>
          <w:b/>
        </w:rPr>
        <w:t>调洪结果：</w:t>
      </w:r>
    </w:p>
    <w:p>
      <w:pPr>
        <w:ind w:firstLine="480"/>
      </w:pPr>
      <w:r>
        <w:drawing>
          <wp:inline distT="0" distB="0" distL="0" distR="0">
            <wp:extent cx="5400040" cy="3611880"/>
            <wp:effectExtent l="0" t="0" r="0" b="7620"/>
            <wp:docPr id="35" name="图片 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true"/>
                    </pic:cNvPicPr>
                  </pic:nvPicPr>
                  <pic:blipFill>
                    <a:blip r:embed="rId24"/>
                    <a:stretch>
                      <a:fillRect/>
                    </a:stretch>
                  </pic:blipFill>
                  <pic:spPr>
                    <a:xfrm>
                      <a:off x="0" y="0"/>
                      <a:ext cx="5400040" cy="3611902"/>
                    </a:xfrm>
                    <a:prstGeom prst="rect">
                      <a:avLst/>
                    </a:prstGeom>
                  </pic:spPr>
                </pic:pic>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2.3</w:t>
      </w:r>
      <w:r>
        <w:fldChar w:fldCharType="end"/>
      </w:r>
      <w:r>
        <w:noBreakHyphen/>
      </w:r>
      <w:r>
        <w:fldChar w:fldCharType="begin"/>
      </w:r>
      <w:r>
        <w:rPr>
          <w:rFonts w:hint="eastAsia"/>
        </w:rPr>
        <w:instrText xml:space="preserve">SEQ 图 \* ARABIC \s 2</w:instrText>
      </w:r>
      <w:r>
        <w:fldChar w:fldCharType="separate"/>
      </w:r>
      <w:r>
        <w:t>1</w:t>
      </w:r>
      <w:r>
        <w:fldChar w:fldCharType="end"/>
      </w:r>
      <w:r>
        <w:rPr>
          <w:rFonts w:hint="eastAsia"/>
        </w:rPr>
        <w:t>20年一遇（P=5%）调洪演算图</w:t>
      </w:r>
    </w:p>
    <w:p>
      <w:pPr>
        <w:ind w:firstLine="480"/>
      </w:pPr>
      <w:r>
        <w:rPr>
          <w:rFonts w:hint="eastAsia"/>
        </w:rPr>
        <w:t>1、在设计洪水即20年一遇（P=5%）的情况下，设计最大溢洪流量为36.2m</w:t>
      </w:r>
      <w:r>
        <w:rPr>
          <w:rFonts w:hint="eastAsia"/>
          <w:vertAlign w:val="superscript"/>
        </w:rPr>
        <w:t>3</w:t>
      </w:r>
      <w:r>
        <w:rPr>
          <w:rFonts w:hint="eastAsia"/>
        </w:rPr>
        <w:t>/s，相应调洪库容为7万m</w:t>
      </w:r>
      <w:r>
        <w:rPr>
          <w:rFonts w:hint="eastAsia"/>
          <w:vertAlign w:val="superscript"/>
        </w:rPr>
        <w:t>3</w:t>
      </w:r>
      <w:r>
        <w:rPr>
          <w:rFonts w:hint="eastAsia"/>
        </w:rPr>
        <w:t>，设计洪水位96.01m。</w:t>
      </w:r>
    </w:p>
    <w:p>
      <w:pPr>
        <w:ind w:firstLine="480"/>
      </w:pPr>
    </w:p>
    <w:p>
      <w:pPr>
        <w:ind w:firstLine="480"/>
      </w:pPr>
    </w:p>
    <w:p>
      <w:pPr>
        <w:ind w:firstLine="480"/>
        <w:jc w:val="center"/>
      </w:pPr>
      <w:r>
        <w:drawing>
          <wp:inline distT="0" distB="0" distL="0" distR="0">
            <wp:extent cx="5400040" cy="3661410"/>
            <wp:effectExtent l="0" t="0" r="0" b="0"/>
            <wp:docPr id="36" name="图片 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true"/>
                    </pic:cNvPicPr>
                  </pic:nvPicPr>
                  <pic:blipFill>
                    <a:blip r:embed="rId25"/>
                    <a:stretch>
                      <a:fillRect/>
                    </a:stretch>
                  </pic:blipFill>
                  <pic:spPr>
                    <a:xfrm>
                      <a:off x="0" y="0"/>
                      <a:ext cx="5400040" cy="3661902"/>
                    </a:xfrm>
                    <a:prstGeom prst="rect">
                      <a:avLst/>
                    </a:prstGeom>
                  </pic:spPr>
                </pic:pic>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2.3</w:t>
      </w:r>
      <w:r>
        <w:fldChar w:fldCharType="end"/>
      </w:r>
      <w:r>
        <w:noBreakHyphen/>
      </w:r>
      <w:r>
        <w:fldChar w:fldCharType="begin"/>
      </w:r>
      <w:r>
        <w:rPr>
          <w:rFonts w:hint="eastAsia"/>
        </w:rPr>
        <w:instrText xml:space="preserve">SEQ 图 \* ARABIC \s 2</w:instrText>
      </w:r>
      <w:r>
        <w:fldChar w:fldCharType="separate"/>
      </w:r>
      <w:r>
        <w:t>2</w:t>
      </w:r>
      <w:r>
        <w:fldChar w:fldCharType="end"/>
      </w:r>
      <w:r>
        <w:rPr>
          <w:rFonts w:hint="eastAsia"/>
        </w:rPr>
        <w:t>100年一遇（P=0.5%）调洪演算图</w:t>
      </w:r>
    </w:p>
    <w:p>
      <w:pPr>
        <w:ind w:firstLine="480"/>
      </w:pPr>
      <w:r>
        <w:rPr>
          <w:rFonts w:hint="eastAsia"/>
        </w:rPr>
        <w:t>2、在校核洪水即200年一遇（P=1%）的情况下，设计最大溢洪流量为70.01m</w:t>
      </w:r>
      <w:r>
        <w:rPr>
          <w:rFonts w:hint="eastAsia"/>
          <w:vertAlign w:val="superscript"/>
        </w:rPr>
        <w:t>3</w:t>
      </w:r>
      <w:r>
        <w:rPr>
          <w:rFonts w:hint="eastAsia"/>
        </w:rPr>
        <w:t>/s，相应调洪库容为11万m</w:t>
      </w:r>
      <w:r>
        <w:rPr>
          <w:rFonts w:hint="eastAsia"/>
          <w:vertAlign w:val="superscript"/>
        </w:rPr>
        <w:t>3</w:t>
      </w:r>
      <w:r>
        <w:rPr>
          <w:rFonts w:hint="eastAsia"/>
        </w:rPr>
        <w:t>，校核洪水位96.44m。</w:t>
      </w:r>
    </w:p>
    <w:p>
      <w:pPr>
        <w:pStyle w:val="12"/>
      </w:pPr>
      <w:r>
        <w:rPr>
          <w:rFonts w:hint="eastAsia"/>
        </w:rPr>
        <w:t>表</w:t>
      </w:r>
      <w:r>
        <w:fldChar w:fldCharType="begin"/>
      </w:r>
      <w:r>
        <w:rPr>
          <w:rFonts w:hint="eastAsia"/>
        </w:rPr>
        <w:instrText xml:space="preserve">STYLEREF 2 \s</w:instrText>
      </w:r>
      <w:r>
        <w:fldChar w:fldCharType="separate"/>
      </w:r>
      <w:r>
        <w:t>2.3</w:t>
      </w:r>
      <w:r>
        <w:fldChar w:fldCharType="end"/>
      </w:r>
      <w:r>
        <w:noBreakHyphen/>
      </w:r>
      <w:r>
        <w:fldChar w:fldCharType="begin"/>
      </w:r>
      <w:r>
        <w:rPr>
          <w:rFonts w:hint="eastAsia"/>
        </w:rPr>
        <w:instrText xml:space="preserve">SEQ 表 \* ARABIC \s 2</w:instrText>
      </w:r>
      <w:r>
        <w:fldChar w:fldCharType="separate"/>
      </w:r>
      <w:r>
        <w:t>1</w:t>
      </w:r>
      <w:r>
        <w:fldChar w:fldCharType="end"/>
      </w:r>
      <w:r>
        <w:rPr>
          <w:rFonts w:hint="eastAsia"/>
        </w:rPr>
        <w:t>调洪计算成果表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40"/>
        <w:gridCol w:w="162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起调水位</w:t>
            </w:r>
          </w:p>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（m）</w:t>
            </w:r>
          </w:p>
        </w:tc>
        <w:tc>
          <w:tcPr>
            <w:tcW w:w="2340"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240" w:lineRule="auto"/>
              <w:ind w:firstLine="0" w:firstLineChars="0"/>
              <w:jc w:val="right"/>
              <w:rPr>
                <w:rFonts w:asciiTheme="minorEastAsia" w:hAnsiTheme="minorEastAsia" w:eastAsiaTheme="minorEastAsia"/>
                <w:sz w:val="18"/>
                <w:szCs w:val="18"/>
              </w:rPr>
            </w:pPr>
            <w:r>
              <w:rPr>
                <w:rFonts w:hint="eastAsia" w:asciiTheme="minorEastAsia" w:hAnsiTheme="minorEastAsia" w:eastAsiaTheme="minorEastAsia"/>
                <w:sz w:val="18"/>
                <w:szCs w:val="18"/>
              </w:rPr>
              <w:t>频率</w:t>
            </w:r>
          </w:p>
          <w:p>
            <w:pPr>
              <w:spacing w:line="240" w:lineRule="auto"/>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项目</w:t>
            </w:r>
          </w:p>
        </w:tc>
        <w:tc>
          <w:tcPr>
            <w:tcW w:w="1624"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107.10</w:t>
            </w:r>
          </w:p>
        </w:tc>
        <w:tc>
          <w:tcPr>
            <w:tcW w:w="234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最高水位（m）</w:t>
            </w:r>
          </w:p>
        </w:tc>
        <w:tc>
          <w:tcPr>
            <w:tcW w:w="162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96.01</w:t>
            </w:r>
          </w:p>
        </w:tc>
        <w:tc>
          <w:tcPr>
            <w:tcW w:w="1559" w:type="dxa"/>
            <w:tcBorders>
              <w:top w:val="single" w:color="auto" w:sz="4" w:space="0"/>
              <w:left w:val="single" w:color="auto" w:sz="4" w:space="0"/>
              <w:bottom w:val="single" w:color="auto" w:sz="4" w:space="0"/>
              <w:right w:val="single" w:color="auto" w:sz="4" w:space="0"/>
            </w:tcBorders>
            <w:noWrap/>
          </w:tcPr>
          <w:p>
            <w:pPr>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both"/>
              <w:rPr>
                <w:rFonts w:asciiTheme="minorEastAsia" w:hAnsiTheme="minorEastAsia" w:eastAsiaTheme="minorEastAsia"/>
                <w:sz w:val="18"/>
                <w:szCs w:val="18"/>
              </w:rPr>
            </w:pPr>
          </w:p>
        </w:tc>
        <w:tc>
          <w:tcPr>
            <w:tcW w:w="234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最大泄洪量（m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/s）</w:t>
            </w:r>
          </w:p>
        </w:tc>
        <w:tc>
          <w:tcPr>
            <w:tcW w:w="162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36.2</w:t>
            </w:r>
          </w:p>
        </w:tc>
        <w:tc>
          <w:tcPr>
            <w:tcW w:w="1559" w:type="dxa"/>
            <w:tcBorders>
              <w:top w:val="single" w:color="auto" w:sz="4" w:space="0"/>
              <w:left w:val="single" w:color="auto" w:sz="4" w:space="0"/>
              <w:bottom w:val="single" w:color="auto" w:sz="4" w:space="0"/>
              <w:right w:val="single" w:color="auto" w:sz="4" w:space="0"/>
            </w:tcBorders>
            <w:noWrap/>
          </w:tcPr>
          <w:p>
            <w:pPr>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both"/>
              <w:rPr>
                <w:rFonts w:asciiTheme="minorEastAsia" w:hAnsiTheme="minorEastAsia" w:eastAsiaTheme="minorEastAsia"/>
                <w:sz w:val="18"/>
                <w:szCs w:val="18"/>
              </w:rPr>
            </w:pPr>
          </w:p>
        </w:tc>
        <w:tc>
          <w:tcPr>
            <w:tcW w:w="234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对应调洪库容（万m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w:t>
            </w:r>
          </w:p>
        </w:tc>
        <w:tc>
          <w:tcPr>
            <w:tcW w:w="162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559"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w:t>
            </w:r>
          </w:p>
        </w:tc>
      </w:tr>
    </w:tbl>
    <w:p>
      <w:pPr>
        <w:ind w:firstLine="480"/>
      </w:pPr>
    </w:p>
    <w:p>
      <w:pPr>
        <w:pStyle w:val="4"/>
        <w:spacing w:before="165" w:after="165"/>
        <w:rPr>
          <w:rFonts w:ascii="宋体" w:hAnsi="宋体"/>
          <w:bCs/>
          <w:szCs w:val="28"/>
        </w:rPr>
      </w:pPr>
      <w:r>
        <w:rPr>
          <w:rFonts w:hint="eastAsia" w:ascii="宋体" w:hAnsi="宋体"/>
          <w:bCs/>
          <w:szCs w:val="28"/>
        </w:rPr>
        <w:t>水库流域水文测站分布、观测项目</w:t>
      </w:r>
    </w:p>
    <w:p>
      <w:pPr>
        <w:ind w:firstLine="480"/>
      </w:pPr>
      <w:r>
        <w:rPr>
          <w:rFonts w:hint="eastAsia"/>
        </w:rPr>
        <w:t>根据《第一次全国水利普查山东省河湖基本情况普查数据资料汇编》查得，本流域无水文观测站。</w:t>
      </w:r>
    </w:p>
    <w:p>
      <w:pPr>
        <w:pStyle w:val="4"/>
        <w:spacing w:before="165" w:after="165"/>
      </w:pPr>
      <w:r>
        <w:rPr>
          <w:rFonts w:hint="eastAsia"/>
        </w:rPr>
        <w:t>水库报汛方式及洪水预报方案</w:t>
      </w:r>
    </w:p>
    <w:p>
      <w:pPr>
        <w:tabs>
          <w:tab w:val="left" w:pos="2980"/>
        </w:tabs>
        <w:ind w:firstLine="480"/>
      </w:pPr>
      <w:r>
        <w:rPr>
          <w:rFonts w:hint="eastAsia"/>
        </w:rPr>
        <w:t>本流域也无其他大型雨量观测站，报讯为人工报汛，洪水预报也为人工预报。</w:t>
      </w:r>
    </w:p>
    <w:p>
      <w:pPr>
        <w:pStyle w:val="3"/>
        <w:spacing w:before="165" w:after="165"/>
      </w:pPr>
      <w:bookmarkStart w:id="11" w:name="_Toc518843414"/>
      <w:r>
        <w:rPr>
          <w:rFonts w:hint="eastAsia"/>
        </w:rPr>
        <w:t>工程安全监测</w:t>
      </w:r>
      <w:bookmarkEnd w:id="11"/>
    </w:p>
    <w:p>
      <w:pPr>
        <w:pStyle w:val="4"/>
        <w:spacing w:before="165" w:after="165"/>
        <w:rPr>
          <w:rFonts w:ascii="宋体" w:hAnsi="宋体"/>
          <w:bCs/>
          <w:szCs w:val="28"/>
        </w:rPr>
      </w:pPr>
      <w:r>
        <w:rPr>
          <w:rFonts w:hint="eastAsia" w:ascii="宋体" w:hAnsi="宋体"/>
          <w:bCs/>
          <w:szCs w:val="28"/>
        </w:rPr>
        <w:t>水库水工建筑物的监测</w:t>
      </w:r>
    </w:p>
    <w:p>
      <w:pPr>
        <w:ind w:firstLine="480"/>
      </w:pPr>
      <w:r>
        <w:rPr>
          <w:rFonts w:hint="eastAsia"/>
        </w:rPr>
        <w:t>自1967年水库建成蓄水运行到现在，没有发现大坝等水工建筑物有不良运行状况。但是，在今后的工作中，必须加强水工建筑物的技术管理，以利于正确、及时分析和判断大坝等水工建筑物的运行状况，如发现问题，应及时处理和上报有关部门和领导，力争做到水工建筑的有控和在控。</w:t>
      </w:r>
    </w:p>
    <w:p>
      <w:pPr>
        <w:pStyle w:val="4"/>
        <w:spacing w:before="165" w:after="165"/>
        <w:rPr>
          <w:rFonts w:ascii="宋体" w:hAnsi="宋体"/>
          <w:bCs/>
          <w:szCs w:val="28"/>
        </w:rPr>
      </w:pPr>
      <w:r>
        <w:rPr>
          <w:rFonts w:hint="eastAsia" w:ascii="宋体" w:hAnsi="宋体"/>
          <w:bCs/>
          <w:szCs w:val="28"/>
        </w:rPr>
        <w:t>水库洪水监测</w:t>
      </w:r>
    </w:p>
    <w:p>
      <w:pPr>
        <w:ind w:firstLine="480"/>
      </w:pPr>
      <w:r>
        <w:rPr>
          <w:rFonts w:hint="eastAsia"/>
        </w:rPr>
        <w:t>东道水库在汛期应成立防洪调度值班组，在汛期负责24小时轮流值班；负责 24小时水位观察、流量计算和水工建筑物巡视检查等工作。在大坝泄洪时，根据洪水流量的大小，防洪调度值班人员每隔10分钟、30分钟或60分钟观察和记录水位一次，并随时向有关部门和领导汇报水库情况。</w:t>
      </w:r>
    </w:p>
    <w:p>
      <w:pPr>
        <w:pStyle w:val="3"/>
        <w:spacing w:before="165" w:after="165"/>
      </w:pPr>
      <w:bookmarkStart w:id="12" w:name="_Toc518843415"/>
      <w:r>
        <w:rPr>
          <w:rFonts w:hint="eastAsia"/>
        </w:rPr>
        <w:t>汛期调度运用计划</w:t>
      </w:r>
      <w:bookmarkEnd w:id="12"/>
    </w:p>
    <w:p>
      <w:pPr>
        <w:ind w:firstLine="480"/>
      </w:pPr>
      <w:r>
        <w:rPr>
          <w:rFonts w:hint="eastAsia"/>
        </w:rPr>
        <w:t>水库防洪调度按照兴利服从防洪的原则，随时掌握气象信息，做好水库洪水预报、精心调度，科学运用。在接到暴雨预报后，确保从批准的起调水位起调。</w:t>
      </w:r>
    </w:p>
    <w:p>
      <w:pPr>
        <w:pStyle w:val="4"/>
        <w:spacing w:before="165" w:after="165"/>
        <w:rPr>
          <w:rFonts w:ascii="宋体" w:hAnsi="宋体"/>
          <w:bCs/>
          <w:szCs w:val="28"/>
        </w:rPr>
      </w:pPr>
      <w:r>
        <w:t>汛中限制水位的确定</w:t>
      </w:r>
    </w:p>
    <w:p>
      <w:pPr>
        <w:ind w:firstLine="480"/>
      </w:pPr>
      <w:r>
        <w:rPr>
          <w:rFonts w:hint="eastAsia"/>
        </w:rPr>
        <w:t>根据目前工程情况，水库汛限水位定为94.15m，起调水位按94.15 m。</w:t>
      </w:r>
    </w:p>
    <w:p>
      <w:pPr>
        <w:pStyle w:val="12"/>
        <w:rPr>
          <w:rFonts w:ascii="黑体" w:hAnsi="黑体" w:eastAsia="黑体" w:cs="黑体"/>
          <w:kern w:val="0"/>
          <w:sz w:val="28"/>
          <w:szCs w:val="28"/>
        </w:rPr>
      </w:pPr>
      <w:r>
        <w:rPr>
          <w:rFonts w:hint="eastAsia"/>
        </w:rPr>
        <w:t>表</w:t>
      </w:r>
      <w:r>
        <w:fldChar w:fldCharType="begin"/>
      </w:r>
      <w:r>
        <w:rPr>
          <w:rFonts w:hint="eastAsia"/>
        </w:rPr>
        <w:instrText xml:space="preserve">STYLEREF 2 \s</w:instrText>
      </w:r>
      <w:r>
        <w:fldChar w:fldCharType="separate"/>
      </w:r>
      <w:r>
        <w:t>2.5</w:t>
      </w:r>
      <w:r>
        <w:fldChar w:fldCharType="end"/>
      </w:r>
      <w:r>
        <w:noBreakHyphen/>
      </w:r>
      <w:r>
        <w:fldChar w:fldCharType="begin"/>
      </w:r>
      <w:r>
        <w:rPr>
          <w:rFonts w:hint="eastAsia"/>
        </w:rPr>
        <w:instrText xml:space="preserve">SEQ 表 \* ARABIC \s 2</w:instrText>
      </w:r>
      <w:r>
        <w:fldChar w:fldCharType="separate"/>
      </w:r>
      <w:r>
        <w:t>1</w:t>
      </w:r>
      <w:r>
        <w:fldChar w:fldCharType="end"/>
      </w:r>
      <w:r>
        <w:rPr>
          <w:rFonts w:hint="eastAsia"/>
        </w:rPr>
        <w:t>水库汛期控制运用主要指标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1048"/>
        <w:gridCol w:w="846"/>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9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水库名称</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允许最高水位（m）</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警戒水位（m）</w:t>
            </w:r>
          </w:p>
        </w:tc>
        <w:tc>
          <w:tcPr>
            <w:tcW w:w="10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汛中限制水位（m）</w:t>
            </w:r>
          </w:p>
        </w:tc>
        <w:tc>
          <w:tcPr>
            <w:tcW w:w="8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库容</w:t>
            </w:r>
          </w:p>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(万m³）</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允许超蓄水位（m）</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库容</w:t>
            </w:r>
          </w:p>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(万m³）</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汛末水位（m）</w:t>
            </w:r>
          </w:p>
        </w:tc>
        <w:tc>
          <w:tcPr>
            <w:tcW w:w="9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库容</w:t>
            </w:r>
          </w:p>
          <w:p>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4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东道</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96.44</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96.01</w:t>
            </w:r>
          </w:p>
        </w:tc>
        <w:tc>
          <w:tcPr>
            <w:tcW w:w="104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94.15</w:t>
            </w:r>
          </w:p>
        </w:tc>
        <w:tc>
          <w:tcPr>
            <w:tcW w:w="84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4.5</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94.15</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4.5</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94.15</w:t>
            </w:r>
          </w:p>
        </w:tc>
        <w:tc>
          <w:tcPr>
            <w:tcW w:w="9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4.5</w:t>
            </w:r>
          </w:p>
        </w:tc>
      </w:tr>
    </w:tbl>
    <w:p>
      <w:pPr>
        <w:ind w:firstLine="480"/>
      </w:pPr>
      <w:r>
        <w:rPr>
          <w:rFonts w:hint="eastAsia"/>
        </w:rPr>
        <w:t>下游河道安全泄量的确定</w:t>
      </w:r>
    </w:p>
    <w:p>
      <w:pPr>
        <w:ind w:firstLine="480"/>
      </w:pPr>
      <w:r>
        <w:rPr>
          <w:rFonts w:hint="eastAsia"/>
        </w:rPr>
        <w:t>下游河道过流能力计算公式</w:t>
      </w:r>
    </w:p>
    <w:p>
      <w:pPr>
        <w:ind w:firstLine="480"/>
        <w:rPr>
          <w:i/>
        </w:rPr>
      </w:pPr>
      <m:oMathPara>
        <m:oMath>
          <m:r>
            <m:rPr/>
            <w:rPr>
              <w:rFonts w:ascii="Cambria Math" w:hAnsi="Cambria Math"/>
            </w:rPr>
            <m:t>Q=AC</m:t>
          </m:r>
          <m:rad>
            <m:radPr>
              <m:degHide m:val="true"/>
              <m:ctrlPr>
                <w:rPr>
                  <w:rFonts w:ascii="Cambria Math" w:hAnsi="Cambria Math"/>
                  <w:i/>
                </w:rPr>
              </m:ctrlPr>
            </m:radPr>
            <m:deg>
              <m:ctrlPr>
                <w:rPr>
                  <w:rFonts w:ascii="Cambria Math" w:hAnsi="Cambria Math"/>
                  <w:i/>
                </w:rPr>
              </m:ctrlPr>
            </m:deg>
            <m:e>
              <m:r>
                <m:rPr/>
                <w:rPr>
                  <w:rFonts w:ascii="Cambria Math" w:hAnsi="Cambria Math"/>
                </w:rPr>
                <m:t>Ri.</m:t>
              </m:r>
              <m:ctrlPr>
                <w:rPr>
                  <w:rFonts w:ascii="Cambria Math" w:hAnsi="Cambria Math"/>
                  <w:i/>
                </w:rPr>
              </m:ctrlPr>
            </m:e>
          </m:rad>
        </m:oMath>
      </m:oMathPara>
    </w:p>
    <w:p>
      <w:pPr>
        <w:ind w:firstLine="480"/>
      </w:pPr>
      <w:r>
        <w:rPr>
          <w:rFonts w:hint="eastAsia"/>
        </w:rPr>
        <w:t>式中：</w:t>
      </w:r>
    </w:p>
    <w:p>
      <w:pPr>
        <w:ind w:firstLine="480"/>
      </w:pPr>
      <w:r>
        <w:rPr>
          <w:rFonts w:hint="eastAsia"/>
          <w:i/>
        </w:rPr>
        <w:t>Q</w:t>
      </w:r>
      <w:r>
        <w:rPr>
          <w:rFonts w:hint="eastAsia"/>
        </w:rPr>
        <w:t>：河道过流能力</w:t>
      </w:r>
    </w:p>
    <w:p>
      <w:pPr>
        <w:ind w:firstLine="480"/>
      </w:pPr>
      <w:r>
        <w:rPr>
          <w:rFonts w:hint="eastAsia"/>
          <w:i/>
        </w:rPr>
        <w:t>A</w:t>
      </w:r>
      <w:r>
        <w:rPr>
          <w:rFonts w:hint="eastAsia"/>
        </w:rPr>
        <w:t>：过水断面面积</w:t>
      </w:r>
    </w:p>
    <w:p>
      <w:pPr>
        <w:ind w:firstLine="480"/>
      </w:pPr>
      <w:r>
        <w:rPr>
          <w:rFonts w:hint="eastAsia"/>
          <w:i/>
        </w:rPr>
        <w:t>R</w:t>
      </w:r>
      <w:r>
        <w:rPr>
          <w:rFonts w:hint="eastAsia"/>
        </w:rPr>
        <w:t>：水力半径</w:t>
      </w:r>
    </w:p>
    <w:p>
      <w:pPr>
        <w:ind w:firstLine="480"/>
      </w:pPr>
      <w:r>
        <w:rPr>
          <w:rFonts w:hint="eastAsia"/>
          <w:i/>
        </w:rPr>
        <w:t>C</w:t>
      </w:r>
      <w:r>
        <w:rPr>
          <w:rFonts w:hint="eastAsia"/>
        </w:rPr>
        <w:t>：谢才系数</w:t>
      </w:r>
      <m:oMath>
        <m:r>
          <m:rPr/>
          <w:rPr>
            <w:rFonts w:ascii="Cambria Math" w:hAnsi="Cambria Math"/>
          </w:rPr>
          <m:t>C=</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sSup>
          <m:sSupPr>
            <m:ctrlPr>
              <w:rPr>
                <w:rFonts w:ascii="Cambria Math" w:hAnsi="Cambria Math"/>
                <w:i/>
              </w:rPr>
            </m:ctrlPr>
          </m:sSupPr>
          <m:e>
            <m:r>
              <m:rPr/>
              <w:rPr>
                <w:rFonts w:ascii="Cambria Math" w:hAnsi="Cambria Math"/>
              </w:rPr>
              <m:t>R</m:t>
            </m:r>
            <m:ctrlPr>
              <w:rPr>
                <w:rFonts w:ascii="Cambria Math" w:hAnsi="Cambria Math"/>
                <w:i/>
              </w:rPr>
            </m:ctrlPr>
          </m:e>
          <m:sup>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6</m:t>
                </m:r>
                <m:ctrlPr>
                  <w:rPr>
                    <w:rFonts w:ascii="Cambria Math" w:hAnsi="Cambria Math"/>
                    <w:i/>
                  </w:rPr>
                </m:ctrlPr>
              </m:den>
            </m:f>
            <m:ctrlPr>
              <w:rPr>
                <w:rFonts w:ascii="Cambria Math" w:hAnsi="Cambria Math"/>
                <w:i/>
              </w:rPr>
            </m:ctrlPr>
          </m:sup>
        </m:sSup>
      </m:oMath>
    </w:p>
    <w:p>
      <w:pPr>
        <w:ind w:firstLine="480"/>
      </w:pPr>
      <w:r>
        <w:rPr>
          <w:rFonts w:hint="eastAsia"/>
        </w:rPr>
        <w:t>根据河道内建筑物情况以及最小河槽宽度及深度，经计算得，下游河道不影响人民群众生产生活安全泄量为21 m</w:t>
      </w:r>
      <w:r>
        <w:rPr>
          <w:rFonts w:hint="eastAsia"/>
          <w:vertAlign w:val="superscript"/>
        </w:rPr>
        <w:t>3</w:t>
      </w:r>
      <w:r>
        <w:rPr>
          <w:rFonts w:hint="eastAsia"/>
        </w:rPr>
        <w:t>/s，本次取20m</w:t>
      </w:r>
      <w:r>
        <w:rPr>
          <w:rFonts w:hint="eastAsia"/>
          <w:vertAlign w:val="superscript"/>
        </w:rPr>
        <w:t>3</w:t>
      </w:r>
      <w:r>
        <w:rPr>
          <w:rFonts w:hint="eastAsia"/>
        </w:rPr>
        <w:t>/s。相应水库水位95.7m，暴雨110mm。</w:t>
      </w:r>
    </w:p>
    <w:p>
      <w:pPr>
        <w:pStyle w:val="4"/>
        <w:spacing w:before="165" w:after="165"/>
        <w:rPr>
          <w:rFonts w:ascii="宋体" w:hAnsi="宋体"/>
          <w:bCs/>
          <w:szCs w:val="28"/>
        </w:rPr>
      </w:pPr>
      <w:r>
        <w:rPr>
          <w:rFonts w:hint="eastAsia" w:ascii="宋体" w:hAnsi="宋体"/>
          <w:bCs/>
          <w:szCs w:val="28"/>
        </w:rPr>
        <w:t>Ⅰ级响应调度方案</w:t>
      </w:r>
    </w:p>
    <w:p>
      <w:pPr>
        <w:ind w:firstLine="480"/>
      </w:pPr>
      <w:r>
        <w:t>超标准</w:t>
      </w:r>
      <w:r>
        <w:rPr>
          <w:kern w:val="0"/>
        </w:rPr>
        <w:t>洪水</w:t>
      </w:r>
      <w:r>
        <w:rPr>
          <w:rFonts w:hint="eastAsia"/>
          <w:kern w:val="0"/>
        </w:rPr>
        <w:t>是指</w:t>
      </w:r>
      <w:r>
        <w:rPr>
          <w:rFonts w:hint="eastAsia"/>
        </w:rPr>
        <w:t>水库水位达到或超过校核洪水位96.44m</w:t>
      </w:r>
      <w:r>
        <w:rPr>
          <w:rFonts w:hint="eastAsia"/>
          <w:kern w:val="0"/>
        </w:rPr>
        <w:t>的洪水。</w:t>
      </w:r>
    </w:p>
    <w:p>
      <w:pPr>
        <w:ind w:firstLine="480"/>
        <w:rPr>
          <w:kern w:val="0"/>
        </w:rPr>
      </w:pPr>
      <w:r>
        <w:rPr>
          <w:rFonts w:hint="eastAsia"/>
        </w:rPr>
        <w:t>当雨前水位</w:t>
      </w:r>
      <w:r>
        <w:rPr>
          <w:kern w:val="0"/>
        </w:rPr>
        <w:t>已达</w:t>
      </w:r>
      <w:r>
        <w:rPr>
          <w:rFonts w:hint="eastAsia"/>
          <w:kern w:val="0"/>
        </w:rPr>
        <w:t>94.15 m</w:t>
      </w:r>
      <w:r>
        <w:rPr>
          <w:rFonts w:hint="eastAsia"/>
        </w:rPr>
        <w:t>，预报发生日降雨达到或超过</w:t>
      </w:r>
      <w:r>
        <w:rPr>
          <w:rFonts w:hint="eastAsia"/>
          <w:kern w:val="0"/>
        </w:rPr>
        <w:t>298.35</w:t>
      </w:r>
      <w:r>
        <w:rPr>
          <w:rFonts w:hint="eastAsia"/>
        </w:rPr>
        <w:t>mm的降雨时，相应最高水位将达到或超过96.44</w:t>
      </w:r>
      <w:r>
        <w:rPr>
          <w:kern w:val="0"/>
        </w:rPr>
        <w:t>m</w:t>
      </w:r>
      <w:r>
        <w:rPr>
          <w:rFonts w:hint="eastAsia"/>
          <w:kern w:val="0"/>
        </w:rPr>
        <w:t>时；就</w:t>
      </w:r>
      <w:r>
        <w:rPr>
          <w:rFonts w:hint="eastAsia"/>
        </w:rPr>
        <w:t>应启动Ⅰ级相应，</w:t>
      </w:r>
      <w:r>
        <w:rPr>
          <w:rFonts w:hint="eastAsia"/>
          <w:bCs/>
        </w:rPr>
        <w:t>并立即组织上下游受威胁的群众转移，水库全力泄洪，</w:t>
      </w:r>
      <w:r>
        <w:rPr>
          <w:rFonts w:hint="eastAsia"/>
          <w:kern w:val="0"/>
        </w:rPr>
        <w:t>同时组织抢险，确保大坝坝体安全，</w:t>
      </w:r>
      <w:r>
        <w:rPr>
          <w:kern w:val="0"/>
        </w:rPr>
        <w:t>尽最大努力把洪灾损失减少到最小限度。</w:t>
      </w:r>
    </w:p>
    <w:p>
      <w:pPr>
        <w:pStyle w:val="4"/>
        <w:spacing w:before="165" w:after="165"/>
        <w:rPr>
          <w:rFonts w:ascii="宋体" w:hAnsi="宋体"/>
          <w:bCs/>
          <w:szCs w:val="28"/>
        </w:rPr>
      </w:pPr>
      <w:r>
        <w:rPr>
          <w:rFonts w:hint="eastAsia" w:ascii="宋体" w:hAnsi="宋体"/>
          <w:bCs/>
          <w:szCs w:val="28"/>
        </w:rPr>
        <w:t>Ⅱ级响应调度方案</w:t>
      </w:r>
    </w:p>
    <w:p>
      <w:pPr>
        <w:ind w:firstLine="480"/>
        <w:rPr>
          <w:kern w:val="0"/>
        </w:rPr>
      </w:pPr>
      <w:r>
        <w:rPr>
          <w:rFonts w:hint="eastAsia"/>
          <w:kern w:val="0"/>
        </w:rPr>
        <w:t>非</w:t>
      </w:r>
      <w:r>
        <w:rPr>
          <w:kern w:val="0"/>
        </w:rPr>
        <w:t>常洪水</w:t>
      </w:r>
      <w:r>
        <w:rPr>
          <w:rFonts w:hint="eastAsia"/>
          <w:kern w:val="0"/>
        </w:rPr>
        <w:t>是指水库泄量</w:t>
      </w:r>
      <w:r>
        <w:rPr>
          <w:rFonts w:hint="eastAsia"/>
        </w:rPr>
        <w:t>达到设计洪水位，未达到校核洪水位</w:t>
      </w:r>
      <w:r>
        <w:rPr>
          <w:rFonts w:hint="eastAsia"/>
          <w:kern w:val="0"/>
        </w:rPr>
        <w:t>的洪水。</w:t>
      </w:r>
    </w:p>
    <w:p>
      <w:pPr>
        <w:ind w:firstLine="480"/>
      </w:pPr>
      <w:r>
        <w:rPr>
          <w:rFonts w:hint="eastAsia"/>
        </w:rPr>
        <w:t>当雨前水位</w:t>
      </w:r>
      <w:r>
        <w:rPr>
          <w:kern w:val="0"/>
        </w:rPr>
        <w:t>已达</w:t>
      </w:r>
      <w:r>
        <w:rPr>
          <w:rFonts w:hint="eastAsia"/>
          <w:kern w:val="0"/>
        </w:rPr>
        <w:t>94.15m</w:t>
      </w:r>
      <w:r>
        <w:rPr>
          <w:rFonts w:hint="eastAsia"/>
        </w:rPr>
        <w:t>，预报发生日降雨大</w:t>
      </w:r>
      <w:r>
        <w:rPr>
          <w:rFonts w:hint="eastAsia"/>
          <w:kern w:val="0"/>
        </w:rPr>
        <w:t>于183.6</w:t>
      </w:r>
      <w:r>
        <w:rPr>
          <w:kern w:val="0"/>
        </w:rPr>
        <w:t>mm</w:t>
      </w:r>
      <w:r>
        <w:rPr>
          <w:rFonts w:hint="eastAsia"/>
          <w:kern w:val="0"/>
        </w:rPr>
        <w:t>但小于298.35</w:t>
      </w:r>
      <w:r>
        <w:rPr>
          <w:rFonts w:hint="eastAsia"/>
        </w:rPr>
        <w:t>mm的降雨时，此时水位将要达到96.01m~96.44m。此时应启动Ⅱ级相应，立即通知下游群众做好安全转移准备，同时根据库水位及新建工程的运行情况，组织抢险队伍和抢险物资上坝，确保大坝和溢洪道安全。</w:t>
      </w:r>
    </w:p>
    <w:p>
      <w:pPr>
        <w:pStyle w:val="4"/>
        <w:spacing w:before="165" w:after="165"/>
        <w:rPr>
          <w:rFonts w:ascii="宋体" w:hAnsi="宋体"/>
          <w:bCs/>
          <w:szCs w:val="28"/>
        </w:rPr>
      </w:pPr>
      <w:r>
        <w:rPr>
          <w:rFonts w:hint="eastAsia" w:ascii="宋体" w:hAnsi="宋体"/>
          <w:bCs/>
          <w:szCs w:val="28"/>
        </w:rPr>
        <w:t>Ⅲ级响应调度方案</w:t>
      </w:r>
    </w:p>
    <w:p>
      <w:pPr>
        <w:ind w:firstLine="480"/>
        <w:rPr>
          <w:kern w:val="0"/>
        </w:rPr>
      </w:pPr>
      <w:r>
        <w:rPr>
          <w:kern w:val="0"/>
        </w:rPr>
        <w:t>正常洪水</w:t>
      </w:r>
      <w:r>
        <w:rPr>
          <w:rFonts w:hint="eastAsia"/>
          <w:kern w:val="0"/>
        </w:rPr>
        <w:t>是指洪水位小于设计洪水位的洪水。当</w:t>
      </w:r>
      <w:r>
        <w:rPr>
          <w:kern w:val="0"/>
        </w:rPr>
        <w:t>雨前水位已达</w:t>
      </w:r>
      <w:r>
        <w:rPr>
          <w:rFonts w:hint="eastAsia"/>
          <w:kern w:val="0"/>
        </w:rPr>
        <w:t>94.15 m</w:t>
      </w:r>
      <w:r>
        <w:rPr>
          <w:kern w:val="0"/>
        </w:rPr>
        <w:t>，</w:t>
      </w:r>
      <w:r>
        <w:rPr>
          <w:rFonts w:hint="eastAsia"/>
          <w:kern w:val="0"/>
        </w:rPr>
        <w:t>预报发生日降雨小于183.60</w:t>
      </w:r>
      <w:r>
        <w:rPr>
          <w:kern w:val="0"/>
        </w:rPr>
        <w:t>mm</w:t>
      </w:r>
      <w:r>
        <w:rPr>
          <w:rFonts w:hint="eastAsia"/>
          <w:kern w:val="0"/>
        </w:rPr>
        <w:t>的正常洪水</w:t>
      </w:r>
      <w:r>
        <w:rPr>
          <w:rFonts w:hint="eastAsia"/>
        </w:rPr>
        <w:t>。应启动Ⅲ级相应，此时水位小于96.01m。这时坝上已经开始溢流，应提前通知车辆绕行并随时注意观察坝体、干砌石护坡的稳定情况，并根据降雨和库</w:t>
      </w:r>
      <w:r>
        <w:rPr>
          <w:kern w:val="0"/>
        </w:rPr>
        <w:t>水位</w:t>
      </w:r>
      <w:r>
        <w:rPr>
          <w:rFonts w:hint="eastAsia"/>
          <w:kern w:val="0"/>
        </w:rPr>
        <w:t>情况，通知</w:t>
      </w:r>
      <w:r>
        <w:rPr>
          <w:rFonts w:hint="eastAsia"/>
        </w:rPr>
        <w:t>下游群众做好观察，保证洪水在主河槽内。</w:t>
      </w:r>
    </w:p>
    <w:p>
      <w:pPr>
        <w:pStyle w:val="3"/>
        <w:spacing w:before="165" w:after="165"/>
      </w:pPr>
      <w:bookmarkStart w:id="13" w:name="_Toc518843416"/>
      <w:r>
        <w:rPr>
          <w:rFonts w:hint="eastAsia"/>
        </w:rPr>
        <w:t>历史灾害及抢险情况</w:t>
      </w:r>
      <w:bookmarkEnd w:id="13"/>
    </w:p>
    <w:p>
      <w:pPr>
        <w:ind w:firstLine="480"/>
      </w:pPr>
      <w:r>
        <w:rPr>
          <w:rFonts w:hint="eastAsia"/>
        </w:rPr>
        <w:t>水库兴建以前其流域内未发生洪水、地震、地质等重大灾害。</w:t>
      </w:r>
    </w:p>
    <w:p>
      <w:pPr>
        <w:ind w:firstLine="480"/>
      </w:pPr>
      <w:r>
        <w:rPr>
          <w:rFonts w:hint="eastAsia"/>
        </w:rPr>
        <w:t>水库兴建以来，水库未发生重大险情。</w:t>
      </w:r>
    </w:p>
    <w:p>
      <w:pPr>
        <w:pStyle w:val="2"/>
        <w:spacing w:before="165" w:after="165"/>
      </w:pPr>
      <w:bookmarkStart w:id="14" w:name="_Toc518843417"/>
      <w:r>
        <w:rPr>
          <w:rFonts w:hint="eastAsia"/>
        </w:rPr>
        <w:t>突发事件危害性分析</w:t>
      </w:r>
      <w:bookmarkEnd w:id="14"/>
    </w:p>
    <w:p>
      <w:pPr>
        <w:pStyle w:val="3"/>
        <w:spacing w:before="165" w:after="165"/>
      </w:pPr>
      <w:bookmarkStart w:id="15" w:name="_Toc518843418"/>
      <w:r>
        <w:rPr>
          <w:rFonts w:hint="eastAsia"/>
        </w:rPr>
        <w:t>重大工程险情分析</w:t>
      </w:r>
      <w:bookmarkEnd w:id="15"/>
    </w:p>
    <w:p>
      <w:pPr>
        <w:pStyle w:val="4"/>
        <w:spacing w:before="165" w:after="165" w:line="560" w:lineRule="exact"/>
        <w:rPr>
          <w:rFonts w:ascii="宋体" w:hAnsi="宋体"/>
          <w:bCs/>
          <w:szCs w:val="28"/>
        </w:rPr>
      </w:pPr>
      <w:r>
        <w:rPr>
          <w:rFonts w:hint="eastAsia" w:ascii="宋体" w:hAnsi="宋体"/>
          <w:bCs/>
          <w:szCs w:val="28"/>
        </w:rPr>
        <w:t>可能导致水库大坝出现重大险情的主要因素</w:t>
      </w:r>
    </w:p>
    <w:p>
      <w:pPr>
        <w:ind w:firstLine="480"/>
      </w:pPr>
      <w:r>
        <w:rPr>
          <w:rFonts w:hint="eastAsia"/>
        </w:rPr>
        <w:t>（一）超现状标准洪水（即Ⅰ级响应）水库水位达到96.44</w:t>
      </w:r>
      <w:r>
        <w:t>m</w:t>
      </w:r>
      <w:r>
        <w:rPr>
          <w:rFonts w:hint="eastAsia"/>
        </w:rPr>
        <w:t>时。</w:t>
      </w:r>
    </w:p>
    <w:p>
      <w:pPr>
        <w:ind w:firstLine="480"/>
      </w:pPr>
      <w:r>
        <w:rPr>
          <w:rFonts w:hint="eastAsia"/>
        </w:rPr>
        <w:t>（二）地震灾害。如果出现地震，有可能出现裂缝、滑坡、管涌等，大坝有溃决的可能性。</w:t>
      </w:r>
    </w:p>
    <w:p>
      <w:pPr>
        <w:ind w:firstLine="480"/>
      </w:pPr>
      <w:r>
        <w:rPr>
          <w:rFonts w:hint="eastAsia"/>
        </w:rPr>
        <w:t>（三）地质灾害。水库坝基地质情况复杂，在坝基与坝体相结合部位可能出现管涌、滑坡等问题，有发生溃坝的可能性。</w:t>
      </w:r>
    </w:p>
    <w:p>
      <w:pPr>
        <w:ind w:firstLine="480"/>
      </w:pPr>
      <w:r>
        <w:rPr>
          <w:rFonts w:hint="eastAsia"/>
        </w:rPr>
        <w:t>（四）上游溃坝。水库上游没有规模性水库塘坝，小型工程即使发生溃坝，现有条件下使东道水库溃坝的可能性不大。</w:t>
      </w:r>
    </w:p>
    <w:p>
      <w:pPr>
        <w:ind w:firstLine="480"/>
      </w:pPr>
      <w:r>
        <w:rPr>
          <w:rFonts w:hint="eastAsia"/>
        </w:rPr>
        <w:t>（五）战争及恐怖事件。如果战争发生和有恐怖事件，破坏形式主要是炸毁大坝、溢洪道，尤其是溢洪道是主要毁坏部位，如果大坝某个部位或溢洪道受到破坏，严重时可能垮坝。</w:t>
      </w:r>
    </w:p>
    <w:p>
      <w:pPr>
        <w:ind w:firstLine="480"/>
      </w:pPr>
      <w:r>
        <w:rPr>
          <w:rFonts w:hint="eastAsia"/>
        </w:rPr>
        <w:t>（六）其他。受水库地理位置影响，遇强风时，造成风浪冲刷掏空坝前护坡石，直接危及大坝安全；水库处于多雷区，建筑物、通讯、供电等设施易遭受雷击破坏，直接或间接危及工程安全</w:t>
      </w:r>
    </w:p>
    <w:p>
      <w:pPr>
        <w:pStyle w:val="4"/>
        <w:pageBreakBefore/>
        <w:spacing w:before="165" w:after="165" w:line="560" w:lineRule="exact"/>
        <w:rPr>
          <w:rFonts w:ascii="宋体" w:hAnsi="宋体"/>
          <w:bCs/>
          <w:szCs w:val="28"/>
        </w:rPr>
      </w:pPr>
      <w:r>
        <w:rPr>
          <w:rFonts w:hint="eastAsia" w:ascii="宋体" w:hAnsi="宋体"/>
          <w:bCs/>
          <w:szCs w:val="28"/>
        </w:rPr>
        <w:t>险情的种类、发生的部位、程度（详见表）</w:t>
      </w:r>
    </w:p>
    <w:tbl>
      <w:tblPr>
        <w:tblStyle w:val="24"/>
        <w:tblW w:w="8835" w:type="dxa"/>
        <w:jc w:val="center"/>
        <w:tblLayout w:type="fixed"/>
        <w:tblCellMar>
          <w:top w:w="0" w:type="dxa"/>
          <w:left w:w="0" w:type="dxa"/>
          <w:bottom w:w="0" w:type="dxa"/>
          <w:right w:w="0" w:type="dxa"/>
        </w:tblCellMar>
      </w:tblPr>
      <w:tblGrid>
        <w:gridCol w:w="460"/>
        <w:gridCol w:w="1175"/>
        <w:gridCol w:w="985"/>
        <w:gridCol w:w="2040"/>
        <w:gridCol w:w="2260"/>
        <w:gridCol w:w="1915"/>
      </w:tblGrid>
      <w:tr>
        <w:tblPrEx>
          <w:tblCellMar>
            <w:top w:w="0" w:type="dxa"/>
            <w:left w:w="0" w:type="dxa"/>
            <w:bottom w:w="0" w:type="dxa"/>
            <w:right w:w="0" w:type="dxa"/>
          </w:tblCellMar>
        </w:tblPrEx>
        <w:trPr>
          <w:trHeight w:val="630" w:hRule="atLeast"/>
          <w:jc w:val="center"/>
        </w:trPr>
        <w:tc>
          <w:tcPr>
            <w:tcW w:w="8835" w:type="dxa"/>
            <w:gridSpan w:val="6"/>
            <w:tcBorders>
              <w:top w:val="nil"/>
              <w:left w:val="nil"/>
              <w:bottom w:val="single" w:color="auto" w:sz="4" w:space="0"/>
              <w:right w:val="nil"/>
            </w:tcBorders>
            <w:vAlign w:val="center"/>
          </w:tcPr>
          <w:p>
            <w:pPr>
              <w:pStyle w:val="12"/>
            </w:pPr>
            <w:r>
              <w:rPr>
                <w:rFonts w:hint="eastAsia"/>
              </w:rPr>
              <w:t>表</w:t>
            </w:r>
            <w:r>
              <w:fldChar w:fldCharType="begin"/>
            </w:r>
            <w:r>
              <w:rPr>
                <w:rFonts w:hint="eastAsia"/>
              </w:rPr>
              <w:instrText xml:space="preserve">STYLEREF 2 \s</w:instrText>
            </w:r>
            <w:r>
              <w:fldChar w:fldCharType="separate"/>
            </w:r>
            <w:r>
              <w:t>3.1</w:t>
            </w:r>
            <w:r>
              <w:fldChar w:fldCharType="end"/>
            </w:r>
            <w:r>
              <w:noBreakHyphen/>
            </w:r>
            <w:r>
              <w:fldChar w:fldCharType="begin"/>
            </w:r>
            <w:r>
              <w:rPr>
                <w:rFonts w:hint="eastAsia"/>
              </w:rPr>
              <w:instrText xml:space="preserve">SEQ 表 \* ARABIC \s 2</w:instrText>
            </w:r>
            <w:r>
              <w:fldChar w:fldCharType="separate"/>
            </w:r>
            <w:r>
              <w:t>1</w:t>
            </w:r>
            <w:r>
              <w:fldChar w:fldCharType="end"/>
            </w:r>
            <w:r>
              <w:rPr>
                <w:rFonts w:hint="eastAsia"/>
              </w:rPr>
              <w:t>险情的种类以及发生的部位和等级表</w:t>
            </w:r>
          </w:p>
        </w:tc>
      </w:tr>
      <w:tr>
        <w:tblPrEx>
          <w:tblCellMar>
            <w:top w:w="0" w:type="dxa"/>
            <w:left w:w="0" w:type="dxa"/>
            <w:bottom w:w="0" w:type="dxa"/>
            <w:right w:w="0" w:type="dxa"/>
          </w:tblCellMar>
        </w:tblPrEx>
        <w:trPr>
          <w:cantSplit/>
          <w:trHeight w:val="315" w:hRule="atLeast"/>
          <w:jc w:val="center"/>
        </w:trPr>
        <w:tc>
          <w:tcPr>
            <w:tcW w:w="460"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序号</w:t>
            </w:r>
          </w:p>
        </w:tc>
        <w:tc>
          <w:tcPr>
            <w:tcW w:w="117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险情种类</w:t>
            </w:r>
          </w:p>
        </w:tc>
        <w:tc>
          <w:tcPr>
            <w:tcW w:w="98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出险部位</w:t>
            </w:r>
          </w:p>
        </w:tc>
        <w:tc>
          <w:tcPr>
            <w:tcW w:w="6215" w:type="dxa"/>
            <w:gridSpan w:val="3"/>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险情等级</w:t>
            </w:r>
          </w:p>
        </w:tc>
      </w:tr>
      <w:tr>
        <w:tblPrEx>
          <w:tblCellMar>
            <w:top w:w="0" w:type="dxa"/>
            <w:left w:w="0" w:type="dxa"/>
            <w:bottom w:w="0" w:type="dxa"/>
            <w:right w:w="0" w:type="dxa"/>
          </w:tblCellMar>
        </w:tblPrEx>
        <w:trPr>
          <w:cantSplit/>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60"/>
              <w:jc w:val="center"/>
              <w:rPr>
                <w:rFonts w:ascii="宋体" w:hAnsi="宋体"/>
                <w:kern w:val="0"/>
                <w:sz w:val="18"/>
                <w:szCs w:val="18"/>
              </w:rPr>
            </w:pPr>
          </w:p>
        </w:tc>
        <w:tc>
          <w:tcPr>
            <w:tcW w:w="117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60"/>
              <w:jc w:val="center"/>
              <w:rPr>
                <w:rFonts w:ascii="宋体" w:hAnsi="宋体"/>
                <w:kern w:val="0"/>
                <w:sz w:val="18"/>
                <w:szCs w:val="18"/>
              </w:rPr>
            </w:pPr>
          </w:p>
        </w:tc>
        <w:tc>
          <w:tcPr>
            <w:tcW w:w="98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60"/>
              <w:jc w:val="center"/>
              <w:rPr>
                <w:rFonts w:ascii="宋体" w:hAnsi="宋体"/>
                <w:kern w:val="0"/>
                <w:sz w:val="18"/>
                <w:szCs w:val="18"/>
              </w:rPr>
            </w:pP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ascii="宋体" w:hAnsi="宋体"/>
                <w:kern w:val="0"/>
                <w:sz w:val="18"/>
                <w:szCs w:val="18"/>
              </w:rPr>
              <w:t>I</w:t>
            </w:r>
            <w:r>
              <w:rPr>
                <w:rFonts w:hint="eastAsia" w:ascii="宋体" w:hAnsi="宋体"/>
                <w:kern w:val="0"/>
                <w:sz w:val="18"/>
                <w:szCs w:val="18"/>
              </w:rPr>
              <w:t>级（重大险情）</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Ⅱ级（较大险情）</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Ⅲ级（一般险情）</w:t>
            </w:r>
          </w:p>
        </w:tc>
      </w:tr>
      <w:tr>
        <w:trPr>
          <w:trHeight w:val="610"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1</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渗漏</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渗较多浑水，日出逸点高</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渗较多清水，略有浑水，出逸点较高</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渗较少清水，出逸点不高</w:t>
            </w:r>
          </w:p>
        </w:tc>
      </w:tr>
      <w:tr>
        <w:tblPrEx>
          <w:tblCellMar>
            <w:top w:w="0" w:type="dxa"/>
            <w:left w:w="0" w:type="dxa"/>
            <w:bottom w:w="0" w:type="dxa"/>
            <w:right w:w="0" w:type="dxa"/>
          </w:tblCellMar>
        </w:tblPrEx>
        <w:trPr>
          <w:trHeight w:val="407"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2</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漏洞</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漏水量大，浑浊度高</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漏清水量较少，浑浊度较低</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漏清水量少，清水</w:t>
            </w:r>
          </w:p>
        </w:tc>
      </w:tr>
      <w:tr>
        <w:tblPrEx>
          <w:tblCellMar>
            <w:top w:w="0" w:type="dxa"/>
            <w:left w:w="0" w:type="dxa"/>
            <w:bottom w:w="0" w:type="dxa"/>
            <w:right w:w="0" w:type="dxa"/>
          </w:tblCellMar>
        </w:tblPrEx>
        <w:trPr>
          <w:trHeight w:val="613"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3</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裂缝</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贯穿性的横缝或滑坡裂缝</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未贯穿的横缝或不均匀沉陷裂缝</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长度较长的纵向裂缝或面积较大龟纹裂缝</w:t>
            </w:r>
          </w:p>
        </w:tc>
      </w:tr>
      <w:tr>
        <w:tblPrEx>
          <w:tblCellMar>
            <w:top w:w="0" w:type="dxa"/>
            <w:left w:w="0" w:type="dxa"/>
            <w:bottom w:w="0" w:type="dxa"/>
            <w:right w:w="0" w:type="dxa"/>
          </w:tblCellMar>
        </w:tblPrEx>
        <w:trPr>
          <w:trHeight w:val="585"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4</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滑坡</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大面积深层滑坡</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较大面积的深层滑坡</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小范围浅层滑坡</w:t>
            </w:r>
          </w:p>
        </w:tc>
      </w:tr>
      <w:tr>
        <w:trPr>
          <w:trHeight w:val="720"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5</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泄水建筑物破坏</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输、泄水建筑物与土坝结合</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输、泄水建筑物发生显著位移、失稳、倒塌</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输、泄水建筑物出现裂缝较宽</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输、泄水建筑物出现裂缝较窄</w:t>
            </w:r>
          </w:p>
        </w:tc>
      </w:tr>
      <w:tr>
        <w:tblPrEx>
          <w:tblCellMar>
            <w:top w:w="0" w:type="dxa"/>
            <w:left w:w="0" w:type="dxa"/>
            <w:bottom w:w="0" w:type="dxa"/>
            <w:right w:w="0" w:type="dxa"/>
          </w:tblCellMar>
        </w:tblPrEx>
        <w:trPr>
          <w:trHeight w:val="319"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6</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决口</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各种形式决口</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p>
        </w:tc>
      </w:tr>
      <w:tr>
        <w:tblPrEx>
          <w:tblCellMar>
            <w:top w:w="0" w:type="dxa"/>
            <w:left w:w="0" w:type="dxa"/>
            <w:bottom w:w="0" w:type="dxa"/>
            <w:right w:w="0" w:type="dxa"/>
          </w:tblCellMar>
        </w:tblPrEx>
        <w:trPr>
          <w:trHeight w:val="377"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7</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洪水</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水库</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sz w:val="18"/>
                <w:szCs w:val="18"/>
              </w:rPr>
            </w:pPr>
            <w:r>
              <w:rPr>
                <w:rFonts w:hint="eastAsia" w:ascii="宋体" w:hAnsi="宋体"/>
                <w:sz w:val="18"/>
                <w:szCs w:val="18"/>
              </w:rPr>
              <w:t>超标准洪水</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sz w:val="18"/>
                <w:szCs w:val="18"/>
              </w:rPr>
            </w:pPr>
            <w:r>
              <w:rPr>
                <w:rFonts w:hint="eastAsia" w:ascii="宋体" w:hAnsi="宋体"/>
                <w:kern w:val="0"/>
                <w:sz w:val="18"/>
                <w:szCs w:val="18"/>
              </w:rPr>
              <w:t>标准内较大洪水</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sz w:val="18"/>
                <w:szCs w:val="18"/>
              </w:rPr>
            </w:pPr>
            <w:r>
              <w:rPr>
                <w:rFonts w:hint="eastAsia" w:ascii="宋体" w:hAnsi="宋体"/>
                <w:kern w:val="0"/>
                <w:sz w:val="18"/>
                <w:szCs w:val="18"/>
              </w:rPr>
              <w:t>标准内洪水</w:t>
            </w:r>
          </w:p>
        </w:tc>
      </w:tr>
      <w:tr>
        <w:tblPrEx>
          <w:tblCellMar>
            <w:top w:w="0" w:type="dxa"/>
            <w:left w:w="0" w:type="dxa"/>
            <w:bottom w:w="0" w:type="dxa"/>
            <w:right w:w="0" w:type="dxa"/>
          </w:tblCellMar>
        </w:tblPrEx>
        <w:trPr>
          <w:trHeight w:val="900"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8</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上游大体积漂移物的撞击</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枢纽工程</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撞击后，发生工程险情中的</w:t>
            </w:r>
            <w:r>
              <w:rPr>
                <w:rFonts w:ascii="宋体" w:hAnsi="宋体"/>
                <w:kern w:val="0"/>
                <w:sz w:val="18"/>
                <w:szCs w:val="18"/>
              </w:rPr>
              <w:t>I</w:t>
            </w:r>
            <w:r>
              <w:rPr>
                <w:rFonts w:hint="eastAsia" w:ascii="宋体" w:hAnsi="宋体"/>
                <w:kern w:val="0"/>
                <w:sz w:val="18"/>
                <w:szCs w:val="18"/>
              </w:rPr>
              <w:t>级险情</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撞击后，发生工程险情中的Ⅱ级险情</w:t>
            </w:r>
          </w:p>
        </w:tc>
        <w:tc>
          <w:tcPr>
            <w:tcW w:w="191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发生上游大型漂移物或撞击后发生工程险情中的Ⅲ级险情</w:t>
            </w:r>
          </w:p>
        </w:tc>
      </w:tr>
      <w:tr>
        <w:trPr>
          <w:trHeight w:val="1072" w:hRule="atLeast"/>
          <w:jc w:val="center"/>
        </w:trPr>
        <w:tc>
          <w:tcPr>
            <w:tcW w:w="460"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9</w:t>
            </w:r>
          </w:p>
        </w:tc>
        <w:tc>
          <w:tcPr>
            <w:tcW w:w="117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战争或恐怖袭击</w:t>
            </w:r>
          </w:p>
        </w:tc>
        <w:tc>
          <w:tcPr>
            <w:tcW w:w="98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枢纽工程、通讯、电力设施等</w:t>
            </w:r>
          </w:p>
        </w:tc>
        <w:tc>
          <w:tcPr>
            <w:tcW w:w="204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袭击枢纽工程，发生工程险情中的</w:t>
            </w:r>
            <w:r>
              <w:rPr>
                <w:rFonts w:ascii="宋体" w:hAnsi="宋体"/>
                <w:kern w:val="0"/>
                <w:sz w:val="18"/>
                <w:szCs w:val="18"/>
              </w:rPr>
              <w:t>I</w:t>
            </w:r>
            <w:r>
              <w:rPr>
                <w:rFonts w:hint="eastAsia" w:ascii="宋体" w:hAnsi="宋体"/>
                <w:kern w:val="0"/>
                <w:sz w:val="18"/>
                <w:szCs w:val="18"/>
              </w:rPr>
              <w:t>级险情</w:t>
            </w:r>
          </w:p>
        </w:tc>
        <w:tc>
          <w:tcPr>
            <w:tcW w:w="2260"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袭击枢纽工程，发生工程险情中的Ⅱ级险情</w:t>
            </w:r>
          </w:p>
        </w:tc>
        <w:tc>
          <w:tcPr>
            <w:tcW w:w="1915" w:type="dxa"/>
            <w:tcBorders>
              <w:top w:val="nil"/>
              <w:left w:val="nil"/>
              <w:bottom w:val="single" w:color="auto" w:sz="4" w:space="0"/>
              <w:right w:val="single" w:color="auto" w:sz="4" w:space="0"/>
            </w:tcBorders>
            <w:vAlign w:val="center"/>
          </w:tcPr>
          <w:p>
            <w:pPr>
              <w:keepNext/>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袭击枢纽工程，发生工程险情中的Ⅲ级险情，袭击通讯、电力设施等</w:t>
            </w:r>
          </w:p>
        </w:tc>
      </w:tr>
      <w:tr>
        <w:tblPrEx>
          <w:tblCellMar>
            <w:top w:w="0" w:type="dxa"/>
            <w:left w:w="0" w:type="dxa"/>
            <w:bottom w:w="0" w:type="dxa"/>
            <w:right w:w="0" w:type="dxa"/>
          </w:tblCellMar>
        </w:tblPrEx>
        <w:trPr>
          <w:trHeight w:val="972"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10</w:t>
            </w:r>
          </w:p>
        </w:tc>
        <w:tc>
          <w:tcPr>
            <w:tcW w:w="1175"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地震</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大坝</w:t>
            </w:r>
          </w:p>
        </w:tc>
        <w:tc>
          <w:tcPr>
            <w:tcW w:w="2040"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r>
              <w:rPr>
                <w:rFonts w:hint="eastAsia" w:ascii="宋体" w:hAnsi="宋体"/>
                <w:kern w:val="0"/>
                <w:sz w:val="18"/>
                <w:szCs w:val="18"/>
              </w:rPr>
              <w:t>由于地震引起的达到一级响应的裂缝、滑坡、漂浮物等灾害。</w:t>
            </w:r>
          </w:p>
        </w:tc>
        <w:tc>
          <w:tcPr>
            <w:tcW w:w="2260"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kern w:val="0"/>
                <w:sz w:val="18"/>
                <w:szCs w:val="18"/>
              </w:rPr>
            </w:pPr>
          </w:p>
        </w:tc>
        <w:tc>
          <w:tcPr>
            <w:tcW w:w="1915" w:type="dxa"/>
            <w:tcBorders>
              <w:top w:val="single" w:color="auto" w:sz="4" w:space="0"/>
              <w:left w:val="nil"/>
              <w:bottom w:val="single" w:color="auto" w:sz="4" w:space="0"/>
              <w:right w:val="single" w:color="auto" w:sz="4" w:space="0"/>
            </w:tcBorders>
            <w:vAlign w:val="center"/>
          </w:tcPr>
          <w:p>
            <w:pPr>
              <w:keepNext/>
              <w:widowControl/>
              <w:spacing w:line="300" w:lineRule="exact"/>
              <w:ind w:firstLine="0" w:firstLineChars="0"/>
              <w:jc w:val="center"/>
              <w:rPr>
                <w:rFonts w:ascii="宋体" w:hAnsi="宋体"/>
                <w:kern w:val="0"/>
                <w:sz w:val="18"/>
                <w:szCs w:val="18"/>
              </w:rPr>
            </w:pPr>
          </w:p>
        </w:tc>
      </w:tr>
    </w:tbl>
    <w:p>
      <w:pPr>
        <w:pStyle w:val="4"/>
        <w:spacing w:before="165" w:after="165" w:line="560" w:lineRule="exact"/>
        <w:rPr>
          <w:rFonts w:ascii="宋体" w:hAnsi="宋体"/>
          <w:bCs/>
          <w:szCs w:val="28"/>
        </w:rPr>
      </w:pPr>
      <w:r>
        <w:rPr>
          <w:rFonts w:hint="eastAsia" w:ascii="宋体" w:hAnsi="宋体"/>
          <w:bCs/>
          <w:szCs w:val="28"/>
        </w:rPr>
        <w:t>重大险情对水库工程安全的危害程度</w:t>
      </w:r>
      <w:r>
        <w:rPr>
          <w:rFonts w:ascii="宋体" w:hAnsi="宋体"/>
          <w:bCs/>
          <w:szCs w:val="28"/>
        </w:rPr>
        <w:tab/>
      </w:r>
    </w:p>
    <w:p>
      <w:pPr>
        <w:ind w:firstLine="480"/>
      </w:pPr>
      <w:r>
        <w:t>1</w:t>
      </w:r>
      <w:r>
        <w:rPr>
          <w:rFonts w:hint="eastAsia"/>
        </w:rPr>
        <w:t>、渗漏：如不抢护，可能发展为漏洞、滑坡及塌坑等，最终引发溃坝。</w:t>
      </w:r>
    </w:p>
    <w:p>
      <w:pPr>
        <w:ind w:firstLine="480"/>
      </w:pPr>
      <w:r>
        <w:t>2</w:t>
      </w:r>
      <w:r>
        <w:rPr>
          <w:rFonts w:hint="eastAsia"/>
        </w:rPr>
        <w:t>、漏洞：如不及时抢护，可能发展为塌坑等险情，造成溃坝。</w:t>
      </w:r>
    </w:p>
    <w:p>
      <w:pPr>
        <w:ind w:firstLine="480"/>
      </w:pPr>
      <w:r>
        <w:t>3</w:t>
      </w:r>
      <w:r>
        <w:rPr>
          <w:rFonts w:hint="eastAsia"/>
        </w:rPr>
        <w:t>、塌坑：此种险情即破坏坝的完整性，又可能缩短渗径，同时伴有渗漏、漏洞等险情发生，有溃坝的危险。</w:t>
      </w:r>
    </w:p>
    <w:p>
      <w:pPr>
        <w:ind w:firstLine="480"/>
      </w:pPr>
      <w:r>
        <w:t>4</w:t>
      </w:r>
      <w:r>
        <w:rPr>
          <w:rFonts w:hint="eastAsia"/>
        </w:rPr>
        <w:t>、裂缝：纵向裂缝有可能发展为滑坡，危及大坝安全：横向裂缝易形成涌水通道，有溃坝危险。</w:t>
      </w:r>
    </w:p>
    <w:p>
      <w:pPr>
        <w:ind w:firstLine="480"/>
      </w:pPr>
      <w:r>
        <w:t>5</w:t>
      </w:r>
      <w:r>
        <w:rPr>
          <w:rFonts w:hint="eastAsia"/>
        </w:rPr>
        <w:t>、滑坡：根据滑坡的范围，可分为坝身与基础一起滑动和坝身局部滑动，不及时抢护，危及坝身安全。</w:t>
      </w:r>
    </w:p>
    <w:p>
      <w:pPr>
        <w:ind w:firstLine="480"/>
      </w:pPr>
      <w:r>
        <w:t>6</w:t>
      </w:r>
      <w:r>
        <w:rPr>
          <w:rFonts w:hint="eastAsia"/>
        </w:rPr>
        <w:t>、风浪淘刷：轻者将坝前护坡冲毁，造成大坝坍塌；重者使坝躺倒遭受严重破坏，有溃坝的危险。</w:t>
      </w:r>
    </w:p>
    <w:p>
      <w:pPr>
        <w:ind w:firstLine="480"/>
      </w:pPr>
      <w:r>
        <w:t>7</w:t>
      </w:r>
      <w:r>
        <w:rPr>
          <w:rFonts w:hint="eastAsia"/>
        </w:rPr>
        <w:t>、泄水建筑物与坝体结合部位渗漏，产生接触渗透破坏，不及时抢护，危及建筑物与大坝安全。</w:t>
      </w:r>
    </w:p>
    <w:p>
      <w:pPr>
        <w:pStyle w:val="4"/>
        <w:spacing w:before="165" w:after="165" w:line="560" w:lineRule="exact"/>
        <w:rPr>
          <w:rFonts w:ascii="宋体" w:hAnsi="宋体"/>
          <w:bCs/>
          <w:szCs w:val="28"/>
        </w:rPr>
      </w:pPr>
      <w:r>
        <w:rPr>
          <w:rFonts w:hint="eastAsia" w:ascii="宋体" w:hAnsi="宋体"/>
          <w:bCs/>
          <w:szCs w:val="28"/>
        </w:rPr>
        <w:t>水库溃坝时下游防洪工程、重要保护目标等造成的破坏范围以及影响程度</w:t>
      </w:r>
    </w:p>
    <w:p>
      <w:pPr>
        <w:ind w:firstLine="480"/>
      </w:pPr>
      <w:r>
        <w:rPr>
          <w:rFonts w:hint="eastAsia"/>
        </w:rPr>
        <w:t>库溃坝时，洪水淹没范围包括下游碾子山水库及武家村。</w:t>
      </w:r>
    </w:p>
    <w:p>
      <w:pPr>
        <w:pStyle w:val="4"/>
        <w:spacing w:before="165" w:after="165" w:line="560" w:lineRule="exact"/>
        <w:rPr>
          <w:rFonts w:ascii="宋体" w:hAnsi="宋体"/>
          <w:bCs/>
          <w:szCs w:val="28"/>
        </w:rPr>
      </w:pPr>
      <w:r>
        <w:rPr>
          <w:rFonts w:hint="eastAsia" w:ascii="宋体" w:hAnsi="宋体"/>
          <w:bCs/>
          <w:szCs w:val="28"/>
        </w:rPr>
        <w:t>水库溃坝时上游可能引发滑坡崩塌的地点、范围、危害程度</w:t>
      </w:r>
    </w:p>
    <w:p>
      <w:pPr>
        <w:ind w:firstLine="480"/>
        <w:rPr>
          <w:bCs/>
        </w:rPr>
      </w:pPr>
      <w:r>
        <w:rPr>
          <w:rFonts w:hint="eastAsia"/>
        </w:rPr>
        <w:t>大坝上游坡比较缓，历史上坝体从未出现滑坡崩塌，</w:t>
      </w:r>
      <w:r>
        <w:rPr>
          <w:rFonts w:hint="eastAsia"/>
          <w:bCs/>
        </w:rPr>
        <w:t>因此引起滑坡、崩塌可能性不大。</w:t>
      </w:r>
    </w:p>
    <w:p>
      <w:pPr>
        <w:pStyle w:val="3"/>
        <w:spacing w:before="165" w:after="165"/>
      </w:pPr>
      <w:bookmarkStart w:id="16" w:name="_Toc518843419"/>
      <w:r>
        <w:rPr>
          <w:rFonts w:hint="eastAsia"/>
        </w:rPr>
        <w:t>影响范围内有关情况</w:t>
      </w:r>
      <w:bookmarkEnd w:id="16"/>
    </w:p>
    <w:p>
      <w:pPr>
        <w:pStyle w:val="4"/>
        <w:spacing w:before="165" w:after="165" w:line="560" w:lineRule="exact"/>
        <w:rPr>
          <w:rFonts w:ascii="宋体" w:hAnsi="宋体"/>
          <w:bCs/>
          <w:szCs w:val="28"/>
        </w:rPr>
      </w:pPr>
      <w:r>
        <w:rPr>
          <w:rFonts w:hint="eastAsia" w:ascii="宋体" w:hAnsi="宋体"/>
          <w:bCs/>
          <w:szCs w:val="28"/>
        </w:rPr>
        <w:t>影响范围内人口、财产等社会经济情况</w:t>
      </w:r>
    </w:p>
    <w:p>
      <w:pPr>
        <w:ind w:firstLine="480"/>
      </w:pPr>
      <w:r>
        <w:rPr>
          <w:rFonts w:hint="eastAsia"/>
        </w:rPr>
        <w:t>影响范围主要为东道开村。</w:t>
      </w:r>
    </w:p>
    <w:p>
      <w:pPr>
        <w:pStyle w:val="4"/>
        <w:spacing w:before="165" w:after="165" w:line="560" w:lineRule="exact"/>
        <w:rPr>
          <w:rFonts w:ascii="宋体" w:hAnsi="宋体"/>
          <w:bCs/>
          <w:szCs w:val="28"/>
        </w:rPr>
      </w:pPr>
      <w:r>
        <w:rPr>
          <w:rFonts w:hint="eastAsia" w:ascii="宋体" w:hAnsi="宋体"/>
          <w:bCs/>
          <w:szCs w:val="28"/>
        </w:rPr>
        <w:t>影响范围的防洪重点保护对象</w:t>
      </w:r>
    </w:p>
    <w:p>
      <w:pPr>
        <w:ind w:firstLine="480"/>
      </w:pPr>
      <w:r>
        <w:rPr>
          <w:rFonts w:hint="eastAsia"/>
        </w:rPr>
        <w:t>下游无重要建筑物及设施。</w:t>
      </w:r>
    </w:p>
    <w:p>
      <w:pPr>
        <w:pStyle w:val="4"/>
        <w:spacing w:before="165" w:after="165" w:line="560" w:lineRule="exact"/>
        <w:rPr>
          <w:rFonts w:ascii="宋体" w:hAnsi="宋体"/>
          <w:bCs/>
          <w:szCs w:val="28"/>
        </w:rPr>
      </w:pPr>
      <w:r>
        <w:rPr>
          <w:rFonts w:hint="eastAsia" w:ascii="宋体" w:hAnsi="宋体"/>
          <w:bCs/>
          <w:szCs w:val="28"/>
        </w:rPr>
        <w:t>影响范围内的工程防洪标准</w:t>
      </w:r>
    </w:p>
    <w:p>
      <w:pPr>
        <w:ind w:firstLine="480"/>
      </w:pPr>
      <w:r>
        <w:rPr>
          <w:rFonts w:hint="eastAsia"/>
        </w:rPr>
        <w:t>下游未见大型水利工程。</w:t>
      </w:r>
    </w:p>
    <w:p>
      <w:pPr>
        <w:ind w:firstLine="480"/>
      </w:pPr>
    </w:p>
    <w:p>
      <w:pPr>
        <w:pStyle w:val="2"/>
        <w:spacing w:before="165" w:after="165"/>
      </w:pPr>
      <w:bookmarkStart w:id="17" w:name="_Toc518843420"/>
      <w:r>
        <w:rPr>
          <w:rFonts w:hint="eastAsia"/>
        </w:rPr>
        <w:t>险情监测与报告</w:t>
      </w:r>
      <w:bookmarkEnd w:id="17"/>
    </w:p>
    <w:p>
      <w:pPr>
        <w:pStyle w:val="3"/>
        <w:spacing w:before="165" w:after="165"/>
      </w:pPr>
      <w:bookmarkStart w:id="18" w:name="_Toc518843421"/>
      <w:r>
        <w:rPr>
          <w:rFonts w:hint="eastAsia"/>
        </w:rPr>
        <w:t>险情监测和巡查</w:t>
      </w:r>
      <w:bookmarkEnd w:id="18"/>
    </w:p>
    <w:p>
      <w:pPr>
        <w:pStyle w:val="4"/>
        <w:spacing w:before="165" w:after="165" w:line="560" w:lineRule="exact"/>
        <w:rPr>
          <w:rFonts w:ascii="宋体" w:hAnsi="宋体"/>
          <w:bCs/>
          <w:szCs w:val="28"/>
        </w:rPr>
      </w:pPr>
      <w:r>
        <w:rPr>
          <w:rFonts w:hint="eastAsia" w:ascii="宋体" w:hAnsi="宋体"/>
          <w:bCs/>
          <w:szCs w:val="28"/>
        </w:rPr>
        <w:t>水库工程险情监测、巡查的部位、内容、方式、频次等</w:t>
      </w:r>
    </w:p>
    <w:p>
      <w:pPr>
        <w:ind w:firstLine="480"/>
      </w:pPr>
      <w:r>
        <w:rPr>
          <w:rFonts w:hint="eastAsia"/>
        </w:rPr>
        <w:t>1、巡查的部位</w:t>
      </w:r>
    </w:p>
    <w:p>
      <w:pPr>
        <w:ind w:firstLine="480"/>
      </w:pPr>
      <w:r>
        <w:rPr>
          <w:rFonts w:hint="eastAsia"/>
        </w:rPr>
        <w:t>汛期，对大坝进行安全巡查，每日1次，当库水位达到汛限水位以上时，每天数次巡查。巡查主要部位有大坝、溢洪道，对有险情的部位重点巡查。</w:t>
      </w:r>
    </w:p>
    <w:p>
      <w:pPr>
        <w:ind w:firstLine="480"/>
      </w:pPr>
      <w:r>
        <w:rPr>
          <w:rFonts w:hint="eastAsia"/>
        </w:rPr>
        <w:t>2、险情巡查频次</w:t>
      </w:r>
    </w:p>
    <w:p>
      <w:pPr>
        <w:ind w:firstLine="480"/>
      </w:pPr>
      <w:r>
        <w:rPr>
          <w:rFonts w:hint="eastAsia"/>
        </w:rPr>
        <w:t>（1）汛期大坝表面巡查、泄水建筑物的检查为每日2次。必要时，安排工程技术人员根据险情程度加密观测次数。</w:t>
      </w:r>
    </w:p>
    <w:p>
      <w:pPr>
        <w:ind w:firstLine="480"/>
      </w:pPr>
      <w:r>
        <w:rPr>
          <w:rFonts w:hint="eastAsia"/>
        </w:rPr>
        <w:t>（2）库水位超过96.44 m或发生导致水库出现重大险情的因素时，大坝表面巡查每小时观测4次，输水建筑物和启闭设备的检查频次为每日4次，重大险情由工程专业人员轮流24小时不间断监测。</w:t>
      </w:r>
    </w:p>
    <w:p>
      <w:pPr>
        <w:ind w:firstLine="480"/>
      </w:pPr>
      <w:r>
        <w:rPr>
          <w:rFonts w:hint="eastAsia"/>
        </w:rPr>
        <w:t>3、报警方式</w:t>
      </w:r>
    </w:p>
    <w:p>
      <w:pPr>
        <w:ind w:firstLine="480"/>
      </w:pPr>
      <w:r>
        <w:rPr>
          <w:rFonts w:hint="eastAsia"/>
        </w:rPr>
        <w:t>（1）警号规定</w:t>
      </w:r>
    </w:p>
    <w:p>
      <w:pPr>
        <w:ind w:firstLine="480"/>
      </w:pPr>
      <w:r>
        <w:rPr>
          <w:rFonts w:hint="eastAsia"/>
        </w:rPr>
        <w:t>凡发现险情，吹哨子、敲锣、移动电话、警报器、高音喇叭。</w:t>
      </w:r>
    </w:p>
    <w:p>
      <w:pPr>
        <w:ind w:firstLine="480"/>
      </w:pPr>
      <w:r>
        <w:rPr>
          <w:rFonts w:hint="eastAsia"/>
        </w:rPr>
        <w:t>（2）出险标志</w:t>
      </w:r>
    </w:p>
    <w:p>
      <w:pPr>
        <w:ind w:firstLine="480"/>
      </w:pPr>
      <w:r>
        <w:rPr>
          <w:rFonts w:hint="eastAsia"/>
        </w:rPr>
        <w:t>在出险、抢险地点，白天插红旗，夜间挂红灯（应能防风雨），作为出险标志。</w:t>
      </w:r>
    </w:p>
    <w:p>
      <w:pPr>
        <w:pStyle w:val="4"/>
        <w:spacing w:before="165" w:after="165" w:line="560" w:lineRule="exact"/>
        <w:rPr>
          <w:rFonts w:ascii="宋体" w:hAnsi="宋体"/>
          <w:bCs/>
          <w:szCs w:val="28"/>
        </w:rPr>
      </w:pPr>
      <w:r>
        <w:rPr>
          <w:rFonts w:hint="eastAsia" w:ascii="宋体" w:hAnsi="宋体"/>
          <w:bCs/>
          <w:szCs w:val="28"/>
        </w:rPr>
        <w:t>工程险情监测、巡查人员组成及监测、巡查结果处理程序</w:t>
      </w:r>
    </w:p>
    <w:p>
      <w:pPr>
        <w:ind w:firstLine="480"/>
      </w:pPr>
      <w:r>
        <w:rPr>
          <w:rFonts w:hint="eastAsia"/>
        </w:rPr>
        <w:t>1、水库的险情监测、巡查工作由水库工程管理科组织熟悉工程情况、责任心强、有经验的工程技术人员进行。</w:t>
      </w:r>
    </w:p>
    <w:p>
      <w:pPr>
        <w:ind w:firstLine="480"/>
      </w:pPr>
      <w:r>
        <w:rPr>
          <w:rFonts w:hint="eastAsia"/>
        </w:rPr>
        <w:t>2、工程监测、巡查结果处理程序</w:t>
      </w:r>
    </w:p>
    <w:p>
      <w:pPr>
        <w:ind w:firstLine="480"/>
      </w:pPr>
      <w:r>
        <w:rPr>
          <w:rFonts w:hint="eastAsia"/>
        </w:rPr>
        <w:t>（1）工程监测、巡查人员把检查情况做好记录，发现险情，立即报告水库管理所及王村镇防汛抗旱指挥部；</w:t>
      </w:r>
    </w:p>
    <w:p>
      <w:pPr>
        <w:ind w:firstLine="480"/>
      </w:pPr>
      <w:r>
        <w:rPr>
          <w:rFonts w:hint="eastAsia"/>
        </w:rPr>
        <w:t>（2）经管理人员复核后，写出险情情况及处理意见，上报王村镇防指办公室，并及时采取应急处理措施，防止险情发展。</w:t>
      </w:r>
    </w:p>
    <w:p>
      <w:pPr>
        <w:ind w:firstLine="480"/>
      </w:pPr>
      <w:r>
        <w:rPr>
          <w:rFonts w:hint="eastAsia"/>
        </w:rPr>
        <w:t>（3）经王村镇防指复核后，上报王村镇管委会、管委会包库负责人，防汛专家组现场复核处险情况，市、王村镇防汛专家组确定险情等级、提出抢护措施；有溃坝危险时，王村镇防指通知有关乡镇和部门启动相关应急预案；</w:t>
      </w:r>
    </w:p>
    <w:p>
      <w:pPr>
        <w:ind w:firstLine="480"/>
      </w:pPr>
      <w:r>
        <w:rPr>
          <w:rFonts w:hint="eastAsia"/>
        </w:rPr>
        <w:t>（4）王村镇防指组织调度有关成员单位抢险。</w:t>
      </w:r>
    </w:p>
    <w:p>
      <w:pPr>
        <w:ind w:firstLine="480"/>
      </w:pPr>
      <w:r>
        <w:rPr>
          <w:rFonts w:hint="eastAsia"/>
        </w:rPr>
        <w:t>3、报警方式</w:t>
      </w:r>
    </w:p>
    <w:p>
      <w:pPr>
        <w:ind w:firstLine="480"/>
      </w:pPr>
      <w:r>
        <w:rPr>
          <w:rFonts w:hint="eastAsia"/>
        </w:rPr>
        <w:t>（1）警号规定</w:t>
      </w:r>
    </w:p>
    <w:p>
      <w:pPr>
        <w:ind w:firstLine="480"/>
      </w:pPr>
      <w:r>
        <w:rPr>
          <w:rFonts w:hint="eastAsia"/>
        </w:rPr>
        <w:t>凡发现险情，吹哨子、高音喇叭、移动电话、警报器等作为警号标志。</w:t>
      </w:r>
    </w:p>
    <w:p>
      <w:pPr>
        <w:ind w:firstLine="480"/>
      </w:pPr>
      <w:r>
        <w:rPr>
          <w:rFonts w:hint="eastAsia"/>
        </w:rPr>
        <w:t>（2）出险标志</w:t>
      </w:r>
    </w:p>
    <w:p>
      <w:pPr>
        <w:ind w:firstLine="480"/>
      </w:pPr>
      <w:r>
        <w:rPr>
          <w:rFonts w:hint="eastAsia"/>
        </w:rPr>
        <w:t>在出险、抢险地点，白天插红旗，夜间挂红灯（应能防风雨），作为出险标志。</w:t>
      </w:r>
    </w:p>
    <w:p>
      <w:pPr>
        <w:pStyle w:val="3"/>
        <w:spacing w:before="165" w:after="165"/>
      </w:pPr>
      <w:bookmarkStart w:id="19" w:name="_Toc518843422"/>
      <w:r>
        <w:rPr>
          <w:rFonts w:hint="eastAsia"/>
        </w:rPr>
        <w:t>险情上报与通报</w:t>
      </w:r>
      <w:bookmarkEnd w:id="19"/>
    </w:p>
    <w:p>
      <w:pPr>
        <w:pStyle w:val="4"/>
        <w:spacing w:before="165" w:after="165" w:line="560" w:lineRule="exact"/>
        <w:rPr>
          <w:rFonts w:ascii="宋体" w:hAnsi="宋体"/>
          <w:bCs/>
          <w:kern w:val="0"/>
          <w:szCs w:val="28"/>
        </w:rPr>
      </w:pPr>
      <w:r>
        <w:rPr>
          <w:rFonts w:hint="eastAsia" w:ascii="宋体" w:hAnsi="宋体"/>
          <w:bCs/>
          <w:kern w:val="0"/>
          <w:szCs w:val="28"/>
        </w:rPr>
        <w:t>险情上报程序</w:t>
      </w:r>
    </w:p>
    <w:p>
      <w:pPr>
        <w:ind w:firstLine="480"/>
      </w:pPr>
      <w:r>
        <w:rPr>
          <w:rFonts w:hint="eastAsia"/>
        </w:rPr>
        <w:t>1、向水库主管部门和上级防指报告险情的方式</w:t>
      </w:r>
    </w:p>
    <w:p>
      <w:pPr>
        <w:ind w:firstLine="480"/>
      </w:pPr>
      <w:r>
        <w:rPr>
          <w:rFonts w:hint="eastAsia"/>
        </w:rPr>
        <w:t>工程险情巡回检查工作人员在发现险情后，立即向王村镇防汛抗旱指挥部当面报告，由王村镇防汛抗旱指挥部以书面形式或通过有线电话、移动电话、传真等形式，及时向区防汛抗旱指挥部汇报，并由区防汛抗旱指挥部向市防汛抗旱总指挥部汇报，由市防汛抗旱总指挥部向上级防汛抗旱指挥机构汇报。</w:t>
      </w:r>
    </w:p>
    <w:p>
      <w:pPr>
        <w:ind w:firstLine="480"/>
      </w:pPr>
      <w:r>
        <w:rPr>
          <w:rFonts w:hint="eastAsia"/>
        </w:rPr>
        <w:t>2、向水库管理单位成员单位及其它相关部门通报险情的方式</w:t>
      </w:r>
    </w:p>
    <w:p>
      <w:pPr>
        <w:ind w:firstLine="480"/>
      </w:pPr>
      <w:r>
        <w:rPr>
          <w:rFonts w:hint="eastAsia"/>
        </w:rPr>
        <w:t>王村镇防汛抗旱指挥部向区防汛抗旱指挥部、市防汛抗旱指挥部报告险情，并同时通过有线电话、移动电话、传真等多种形式向防汛指挥成员单位及其它相关部门通报险情。</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12"/>
      </w:pPr>
      <w:r>
        <w:rPr>
          <w:rFonts w:hint="eastAsia"/>
        </w:rPr>
        <w:t>图</w:t>
      </w:r>
      <w:r>
        <w:fldChar w:fldCharType="begin"/>
      </w:r>
      <w:r>
        <w:rPr>
          <w:rFonts w:hint="eastAsia"/>
        </w:rPr>
        <w:instrText xml:space="preserve">STYLEREF 2 \s</w:instrText>
      </w:r>
      <w:r>
        <w:fldChar w:fldCharType="separate"/>
      </w:r>
      <w:r>
        <w:t>4.2</w:t>
      </w:r>
      <w:r>
        <w:fldChar w:fldCharType="end"/>
      </w:r>
      <w:r>
        <w:noBreakHyphen/>
      </w:r>
      <w:r>
        <w:fldChar w:fldCharType="begin"/>
      </w:r>
      <w:r>
        <w:rPr>
          <w:rFonts w:hint="eastAsia"/>
        </w:rPr>
        <w:instrText xml:space="preserve">SEQ 图 \* ARABIC \s 2</w:instrText>
      </w:r>
      <w:r>
        <w:fldChar w:fldCharType="separate"/>
      </w:r>
      <w:r>
        <w:t>1</w:t>
      </w:r>
      <w:r>
        <w:fldChar w:fldCharType="end"/>
      </w:r>
      <w:r>
        <w:rPr>
          <w:rFonts w:hint="eastAsia"/>
        </w:rPr>
        <w:t>查险及上报程序图</w:t>
      </w:r>
    </w:p>
    <w:p>
      <w:pPr>
        <w:spacing w:line="600" w:lineRule="exact"/>
        <w:ind w:firstLine="360"/>
        <w:jc w:val="center"/>
        <w:rPr>
          <w:rFonts w:ascii="宋体" w:hAnsi="宋体"/>
          <w:sz w:val="18"/>
          <w:szCs w:val="18"/>
        </w:rPr>
      </w:pPr>
      <w:r>
        <w:rPr>
          <w:rFonts w:ascii="宋体" w:hAnsi="宋体"/>
          <w:sz w:val="18"/>
          <w:szCs w:val="18"/>
        </w:rPr>
        <w:pict>
          <v:shape id="文本框 33" o:spid="_x0000_s1028" o:spt="202" type="#_x0000_t202" style="position:absolute;left:0pt;margin-left:57.75pt;margin-top:15.6pt;height:30.45pt;width:252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现场发现险情，立即报告水库管理单位负责人</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31" o:spid="_x0000_s1053" o:spt="20" style="position:absolute;left:0pt;flip:y;margin-left:435.4pt;margin-top:1.75pt;height:365.85pt;width:0.3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v:path arrowok="t"/>
            <v:fill focussize="0,0"/>
            <v:stroke/>
            <v:imagedata o:title=""/>
            <o:lock v:ext="edit"/>
          </v:line>
        </w:pict>
      </w:r>
      <w:r>
        <w:rPr>
          <w:rFonts w:ascii="宋体" w:hAnsi="宋体"/>
          <w:sz w:val="18"/>
          <w:szCs w:val="18"/>
        </w:rPr>
        <w:pict>
          <v:shape id="文本框 27" o:spid="_x0000_s1029" o:spt="202" type="#_x0000_t202" style="position:absolute;left:0pt;margin-left:362.55pt;margin-top:27.65pt;height:117pt;width:36pt;z-index:25169100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v:path/>
            <v:fill focussize="0,0"/>
            <v:stroke color="#FFFFFF" joinstyle="miter"/>
            <v:imagedata o:title=""/>
            <o:lock v:ext="edit"/>
            <v:textbox style="layout-flow:vertical-ideographic;">
              <w:txbxContent>
                <w:p>
                  <w:pPr>
                    <w:ind w:firstLine="360"/>
                    <w:rPr>
                      <w:sz w:val="18"/>
                    </w:rPr>
                  </w:pPr>
                  <w:r>
                    <w:rPr>
                      <w:rFonts w:hint="eastAsia"/>
                      <w:sz w:val="18"/>
                    </w:rPr>
                    <w:t>紧急险情边报告边抢险</w:t>
                  </w:r>
                </w:p>
              </w:txbxContent>
            </v:textbox>
          </v:shape>
        </w:pict>
      </w:r>
      <w:r>
        <w:rPr>
          <w:rFonts w:ascii="宋体" w:hAnsi="宋体"/>
          <w:sz w:val="18"/>
          <w:szCs w:val="18"/>
        </w:rPr>
        <w:pict>
          <v:line id="直接连接符 32" o:spid="_x0000_s1052" o:spt="20" style="position:absolute;left:0pt;flip:x y;margin-left:361.1pt;margin-top:8.85pt;height:120.45pt;width:1.4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v:path arrowok="t"/>
            <v:fill focussize="0,0"/>
            <v:stroke/>
            <v:imagedata o:title=""/>
            <o:lock v:ext="edit"/>
          </v:line>
        </w:pict>
      </w:r>
      <w:r>
        <w:rPr>
          <w:rFonts w:ascii="宋体" w:hAnsi="宋体"/>
          <w:sz w:val="18"/>
          <w:szCs w:val="18"/>
        </w:rPr>
        <w:pict>
          <v:line id="直接连接符 30" o:spid="_x0000_s1051" o:spt="20" style="position:absolute;left:0pt;flip:x;margin-left:177.95pt;margin-top:17.9pt;height:22.25pt;width:0.7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path arrowok="t"/>
            <v:fill focussize="0,0"/>
            <v:stroke endarrow="block"/>
            <v:imagedata o:title=""/>
            <o:lock v:ext="edit"/>
          </v:line>
        </w:pict>
      </w:r>
      <w:r>
        <w:rPr>
          <w:rFonts w:ascii="宋体" w:hAnsi="宋体"/>
          <w:sz w:val="18"/>
          <w:szCs w:val="18"/>
        </w:rPr>
        <w:pict>
          <v:line id="直接连接符 29" o:spid="_x0000_s1050" o:spt="20" style="position:absolute;left:0pt;flip:x y;margin-left:307.65pt;margin-top:9.65pt;height:0.7pt;width:54pt;z-index:2516899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path arrowok="t"/>
            <v:fill focussize="0,0"/>
            <v:stroke endarrow="block"/>
            <v:imagedata o:title=""/>
            <o:lock v:ext="edit"/>
          </v:line>
        </w:pict>
      </w:r>
      <w:r>
        <w:rPr>
          <w:rFonts w:ascii="宋体" w:hAnsi="宋体"/>
          <w:sz w:val="18"/>
          <w:szCs w:val="18"/>
        </w:rPr>
        <w:pict>
          <v:line id="直接连接符 28" o:spid="_x0000_s1049" o:spt="20" style="position:absolute;left:0pt;flip:x;margin-left:309.75pt;margin-top:0.65pt;height:0pt;width:126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path arrowok="t"/>
            <v:fill focussize="0,0"/>
            <v:stroke endarrow="block"/>
            <v:imagedata o:title=""/>
            <o:lock v:ext="edit"/>
          </v:line>
        </w:pict>
      </w:r>
    </w:p>
    <w:p>
      <w:pPr>
        <w:spacing w:line="600" w:lineRule="exact"/>
        <w:ind w:left="840" w:firstLine="360"/>
        <w:jc w:val="center"/>
        <w:rPr>
          <w:rFonts w:ascii="宋体" w:hAnsi="宋体"/>
          <w:sz w:val="18"/>
          <w:szCs w:val="18"/>
        </w:rPr>
      </w:pPr>
      <w:r>
        <w:rPr>
          <w:rFonts w:ascii="宋体" w:hAnsi="宋体"/>
          <w:sz w:val="18"/>
          <w:szCs w:val="18"/>
        </w:rPr>
        <w:pict>
          <v:line id="直接连接符 26" o:spid="_x0000_s1048" o:spt="20" style="position:absolute;left:0pt;flip:y;margin-left:17.95pt;margin-top:22pt;height:315.65pt;width:1.5pt;z-index:2516858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v:path arrowok="t"/>
            <v:fill focussize="0,0"/>
            <v:stroke/>
            <v:imagedata o:title=""/>
            <o:lock v:ext="edit"/>
          </v:line>
        </w:pict>
      </w:r>
      <w:r>
        <w:rPr>
          <w:rFonts w:ascii="宋体" w:hAnsi="宋体"/>
          <w:sz w:val="18"/>
          <w:szCs w:val="18"/>
        </w:rPr>
        <w:pict>
          <v:line id="直接连接符 25" o:spid="_x0000_s1047" o:spt="20" style="position:absolute;left:0pt;margin-left:19.5pt;margin-top:22.8pt;height:0pt;width:52.5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path arrowok="t"/>
            <v:fill focussize="0,0"/>
            <v:stroke endarrow="block"/>
            <v:imagedata o:title=""/>
            <o:lock v:ext="edit"/>
          </v:line>
        </w:pict>
      </w:r>
      <w:r>
        <w:rPr>
          <w:rFonts w:ascii="宋体" w:hAnsi="宋体"/>
          <w:sz w:val="18"/>
          <w:szCs w:val="18"/>
        </w:rPr>
        <w:pict>
          <v:shape id="文本框 24" o:spid="_x0000_s1030" o:spt="202" type="#_x0000_t202" style="position:absolute;left:0pt;margin-left:71.25pt;margin-top:10.5pt;height:23.75pt;width:215.25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经管理人员复核，紧急情况边报告边抢险</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23" o:spid="_x0000_s1046" o:spt="20" style="position:absolute;left:0pt;margin-left:177.9pt;margin-top:5.65pt;height:30pt;width:0.8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path arrowok="t"/>
            <v:fill focussize="0,0"/>
            <v:stroke endarrow="block"/>
            <v:imagedata o:title=""/>
            <o:lock v:ext="edit"/>
          </v:line>
        </w:pict>
      </w:r>
    </w:p>
    <w:p>
      <w:pPr>
        <w:tabs>
          <w:tab w:val="left" w:pos="7845"/>
        </w:tabs>
        <w:spacing w:line="600" w:lineRule="exact"/>
        <w:ind w:left="840" w:firstLine="360"/>
        <w:jc w:val="center"/>
        <w:rPr>
          <w:rFonts w:ascii="宋体" w:hAnsi="宋体"/>
          <w:sz w:val="18"/>
          <w:szCs w:val="18"/>
        </w:rPr>
      </w:pPr>
      <w:r>
        <w:rPr>
          <w:rFonts w:ascii="宋体" w:hAnsi="宋体"/>
          <w:sz w:val="18"/>
          <w:szCs w:val="18"/>
        </w:rPr>
        <w:pict>
          <v:shape id="菱形 22" o:spid="_x0000_s1031" o:spt="4" type="#_x0000_t4" style="position:absolute;left:0pt;margin-left:101.65pt;margin-top:5.55pt;height:49.2pt;width:152.2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path/>
            <v:fill focussize="0,0"/>
            <v:stroke joinstyle="miter"/>
            <v:imagedata o:title=""/>
            <o:lock v:ext="edit"/>
            <v:textbox>
              <w:txbxContent>
                <w:p>
                  <w:pPr>
                    <w:ind w:firstLine="0" w:firstLineChars="0"/>
                  </w:pPr>
                  <w:r>
                    <w:rPr>
                      <w:rFonts w:hint="eastAsia"/>
                      <w:sz w:val="18"/>
                      <w:szCs w:val="18"/>
                    </w:rPr>
                    <w:t>写出险情报告</w:t>
                  </w:r>
                  <w:r>
                    <w:rPr>
                      <w:rFonts w:hint="eastAsia"/>
                      <w:szCs w:val="21"/>
                    </w:rPr>
                    <w:t>及处理意见</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19" o:spid="_x0000_s1045" o:spt="20" style="position:absolute;left:0pt;flip:x;margin-left:175.8pt;margin-top:24.65pt;height:24.05pt;width:1.4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path arrowok="t"/>
            <v:fill focussize="0,0"/>
            <v:stroke endarrow="block"/>
            <v:imagedata o:title=""/>
            <o:lock v:ext="edit"/>
          </v:line>
        </w:pict>
      </w:r>
      <w:r>
        <w:rPr>
          <w:rFonts w:ascii="宋体" w:hAnsi="宋体"/>
          <w:sz w:val="18"/>
          <w:szCs w:val="18"/>
        </w:rPr>
        <w:pict>
          <v:line id="直接连接符 21" o:spid="_x0000_s1044" o:spt="20" style="position:absolute;left:0pt;margin-left:251.25pt;margin-top:8.1pt;height:0pt;width:110.25pt;z-index:2516879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v:path arrowok="t"/>
            <v:fill focussize="0,0"/>
            <v:stroke/>
            <v:imagedata o:title=""/>
            <o:lock v:ext="edit"/>
          </v:line>
        </w:pict>
      </w:r>
      <w:r>
        <w:rPr>
          <w:rFonts w:ascii="宋体" w:hAnsi="宋体"/>
          <w:sz w:val="18"/>
          <w:szCs w:val="18"/>
        </w:rPr>
        <w:pict>
          <v:shape id="文本框 20" o:spid="_x0000_s1032" o:spt="202" type="#_x0000_t202" style="position:absolute;left:0pt;margin-left:441pt;margin-top:0.6pt;height:140.4pt;width:36pt;z-index:2516920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v:path/>
            <v:fill focussize="0,0"/>
            <v:stroke color="#FFFFFF" joinstyle="miter"/>
            <v:imagedata o:title=""/>
            <o:lock v:ext="edit"/>
            <v:textbox style="layout-flow:vertical-ideographic;">
              <w:txbxContent>
                <w:p>
                  <w:pPr>
                    <w:ind w:firstLine="360"/>
                    <w:rPr>
                      <w:sz w:val="18"/>
                    </w:rPr>
                  </w:pPr>
                  <w:r>
                    <w:rPr>
                      <w:rFonts w:hint="eastAsia"/>
                      <w:sz w:val="18"/>
                    </w:rPr>
                    <w:t>视险情紧急程度调度力量抢险</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shape id="文本框 18" o:spid="_x0000_s1033" o:spt="202" type="#_x0000_t202" style="position:absolute;left:0pt;margin-left:93.75pt;margin-top:18.5pt;height:23.75pt;width:168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王村镇防汛抗旱指挥部</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16" o:spid="_x0000_s1043" o:spt="20" style="position:absolute;left:0pt;margin-left:175.95pt;margin-top:12.45pt;height:30pt;width:0.05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path arrowok="t"/>
            <v:fill focussize="0,0"/>
            <v:stroke endarrow="block"/>
            <v:imagedata o:title=""/>
            <o:lock v:ext="edit"/>
          </v:line>
        </w:pict>
      </w:r>
    </w:p>
    <w:p>
      <w:pPr>
        <w:spacing w:line="600" w:lineRule="exact"/>
        <w:ind w:left="840" w:firstLine="360"/>
        <w:jc w:val="center"/>
        <w:rPr>
          <w:rFonts w:ascii="宋体" w:hAnsi="宋体"/>
          <w:sz w:val="18"/>
          <w:szCs w:val="18"/>
        </w:rPr>
      </w:pPr>
      <w:r>
        <w:rPr>
          <w:rFonts w:ascii="宋体" w:hAnsi="宋体"/>
          <w:sz w:val="18"/>
          <w:szCs w:val="18"/>
        </w:rPr>
        <w:pict>
          <v:shape id="文本框 13" o:spid="_x0000_s1034" o:spt="202" type="#_x0000_t202" style="position:absolute;left:0pt;margin-left:94.15pt;margin-top:13.9pt;height:25.2pt;width:168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王村镇政府、包库负责人</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14" o:spid="_x0000_s1042" o:spt="20" style="position:absolute;left:0pt;flip:x;margin-left:175.55pt;margin-top:8.95pt;height:30.75pt;width:0.7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path arrowok="t"/>
            <v:fill focussize="0,0"/>
            <v:stroke endarrow="block"/>
            <v:imagedata o:title=""/>
            <o:lock v:ext="edit"/>
          </v:line>
        </w:pict>
      </w:r>
    </w:p>
    <w:p>
      <w:pPr>
        <w:spacing w:line="600" w:lineRule="exact"/>
        <w:ind w:left="840" w:firstLine="360"/>
        <w:jc w:val="center"/>
        <w:rPr>
          <w:rFonts w:ascii="宋体" w:hAnsi="宋体"/>
          <w:sz w:val="18"/>
          <w:szCs w:val="18"/>
        </w:rPr>
      </w:pPr>
      <w:r>
        <w:rPr>
          <w:rFonts w:ascii="宋体" w:hAnsi="宋体"/>
          <w:sz w:val="18"/>
          <w:szCs w:val="18"/>
        </w:rPr>
        <w:pict>
          <v:shape id="_x0000_s1035" o:spid="_x0000_s1035" o:spt="202" type="#_x0000_t202" style="position:absolute;left:0pt;margin-left:93.7pt;margin-top:11.25pt;height:25.2pt;width:168pt;z-index:2516766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path/>
            <v:fill focussize="0,0"/>
            <v:stroke joinstyle="miter"/>
            <v:imagedata o:title=""/>
            <o:lock v:ext="edit"/>
            <v:textbox>
              <w:txbxContent>
                <w:p>
                  <w:pPr>
                    <w:ind w:firstLine="0" w:firstLineChars="0"/>
                    <w:jc w:val="center"/>
                  </w:pPr>
                  <w:r>
                    <w:rPr>
                      <w:rFonts w:hint="eastAsia"/>
                      <w:sz w:val="18"/>
                      <w:szCs w:val="18"/>
                    </w:rPr>
                    <w:t>防汛技术人员现场复核出险情况</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12" o:spid="_x0000_s1041" o:spt="20" style="position:absolute;left:0pt;margin-left:177.3pt;margin-top:5.95pt;height:31.2pt;width:0.05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path arrowok="t"/>
            <v:fill focussize="0,0"/>
            <v:stroke endarrow="block"/>
            <v:imagedata o:title=""/>
            <o:lock v:ext="edit"/>
          </v:line>
        </w:pict>
      </w:r>
    </w:p>
    <w:p>
      <w:pPr>
        <w:spacing w:line="600" w:lineRule="exact"/>
        <w:ind w:left="840" w:firstLine="360"/>
        <w:jc w:val="center"/>
        <w:rPr>
          <w:rFonts w:ascii="宋体" w:hAnsi="宋体"/>
          <w:sz w:val="18"/>
          <w:szCs w:val="18"/>
        </w:rPr>
      </w:pPr>
      <w:r>
        <w:rPr>
          <w:rFonts w:ascii="宋体" w:hAnsi="宋体"/>
          <w:sz w:val="18"/>
          <w:szCs w:val="18"/>
        </w:rPr>
        <w:pict>
          <v:shape id="菱形 10" o:spid="_x0000_s1036" o:spt="4" type="#_x0000_t4" style="position:absolute;left:0pt;margin-left:42.2pt;margin-top:6.85pt;height:63.65pt;width:272.9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确定险情等级、提出抢护措施</w:t>
                  </w:r>
                </w:p>
              </w:txbxContent>
            </v:textbox>
          </v:shape>
        </w:pict>
      </w:r>
    </w:p>
    <w:p>
      <w:pPr>
        <w:spacing w:line="600" w:lineRule="exact"/>
        <w:ind w:left="840" w:firstLine="360"/>
        <w:jc w:val="center"/>
        <w:rPr>
          <w:rFonts w:ascii="宋体" w:hAnsi="宋体"/>
          <w:sz w:val="18"/>
          <w:szCs w:val="18"/>
        </w:rPr>
      </w:pPr>
      <w:r>
        <w:rPr>
          <w:rFonts w:ascii="宋体" w:hAnsi="宋体"/>
          <w:sz w:val="18"/>
          <w:szCs w:val="18"/>
        </w:rPr>
        <w:pict>
          <v:line id="直接连接符 4" o:spid="_x0000_s1040" o:spt="20" style="position:absolute;left:0pt;margin-left:313.75pt;margin-top:7.6pt;height:0pt;width:121.95pt;z-index:2516817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v:path arrowok="t"/>
            <v:fill focussize="0,0"/>
            <v:stroke/>
            <v:imagedata o:title=""/>
            <o:lock v:ext="edit"/>
          </v:line>
        </w:pict>
      </w:r>
      <w:r>
        <w:rPr>
          <w:rFonts w:ascii="宋体" w:hAnsi="宋体"/>
          <w:sz w:val="18"/>
          <w:szCs w:val="18"/>
        </w:rPr>
        <w:pict>
          <v:line id="直接连接符 9" o:spid="_x0000_s1039" o:spt="20" style="position:absolute;left:0pt;flip:x;margin-left:19.6pt;margin-top:7.65pt;height:0pt;width:23.4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v:path arrowok="t"/>
            <v:fill focussize="0,0"/>
            <v:stroke/>
            <v:imagedata o:title=""/>
            <o:lock v:ext="edit"/>
          </v:line>
        </w:pict>
      </w:r>
    </w:p>
    <w:p>
      <w:pPr>
        <w:spacing w:line="600" w:lineRule="exact"/>
        <w:ind w:firstLine="360"/>
        <w:jc w:val="center"/>
        <w:rPr>
          <w:rFonts w:ascii="宋体" w:hAnsi="宋体"/>
          <w:sz w:val="18"/>
          <w:szCs w:val="18"/>
        </w:rPr>
      </w:pPr>
      <w:r>
        <w:rPr>
          <w:rFonts w:ascii="宋体" w:hAnsi="宋体"/>
          <w:sz w:val="18"/>
          <w:szCs w:val="18"/>
        </w:rPr>
        <w:pict>
          <v:line id="直接连接符 2" o:spid="_x0000_s1038" o:spt="20" style="position:absolute;left:0pt;margin-left:181pt;margin-top:9.85pt;height:31.2pt;width:0.0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path arrowok="t"/>
            <v:fill focussize="0,0"/>
            <v:stroke endarrow="block"/>
            <v:imagedata o:title=""/>
            <o:lock v:ext="edit"/>
          </v:line>
        </w:pict>
      </w:r>
    </w:p>
    <w:p>
      <w:pPr>
        <w:spacing w:line="600" w:lineRule="exact"/>
        <w:ind w:firstLine="360"/>
        <w:jc w:val="center"/>
        <w:rPr>
          <w:rFonts w:ascii="宋体" w:hAnsi="宋体"/>
          <w:sz w:val="18"/>
          <w:szCs w:val="18"/>
        </w:rPr>
      </w:pPr>
      <w:r>
        <w:rPr>
          <w:rFonts w:ascii="宋体" w:hAnsi="宋体"/>
          <w:sz w:val="18"/>
          <w:szCs w:val="18"/>
        </w:rPr>
        <w:pict>
          <v:shape id="文本框 3" o:spid="_x0000_s1037" o:spt="202" type="#_x0000_t202" style="position:absolute;left:0pt;margin-left:93.95pt;margin-top:11pt;height:28.45pt;width:175.5pt;z-index:2516807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path/>
            <v:fill focussize="0,0"/>
            <v:stroke joinstyle="miter"/>
            <v:imagedata o:title=""/>
            <o:lock v:ext="edit"/>
            <v:textbox>
              <w:txbxContent>
                <w:p>
                  <w:pPr>
                    <w:spacing w:line="240" w:lineRule="auto"/>
                    <w:ind w:firstLine="0" w:firstLineChars="0"/>
                    <w:jc w:val="center"/>
                    <w:rPr>
                      <w:sz w:val="18"/>
                      <w:szCs w:val="18"/>
                    </w:rPr>
                  </w:pPr>
                  <w:r>
                    <w:rPr>
                      <w:rFonts w:hint="eastAsia"/>
                      <w:sz w:val="18"/>
                      <w:szCs w:val="18"/>
                    </w:rPr>
                    <w:t>区防汛抗旱指挥部组织调度有关成员单位抢险</w:t>
                  </w:r>
                </w:p>
              </w:txbxContent>
            </v:textbox>
          </v:shape>
        </w:pict>
      </w:r>
    </w:p>
    <w:p>
      <w:pPr>
        <w:spacing w:line="600" w:lineRule="exact"/>
        <w:ind w:left="840" w:firstLine="360"/>
        <w:jc w:val="center"/>
        <w:rPr>
          <w:rFonts w:ascii="宋体" w:hAnsi="宋体"/>
          <w:sz w:val="18"/>
          <w:szCs w:val="18"/>
        </w:rPr>
      </w:pPr>
    </w:p>
    <w:p>
      <w:pPr>
        <w:spacing w:line="600" w:lineRule="exact"/>
        <w:ind w:firstLine="360"/>
        <w:rPr>
          <w:rFonts w:ascii="宋体" w:hAnsi="宋体"/>
          <w:sz w:val="18"/>
          <w:szCs w:val="18"/>
        </w:rPr>
      </w:pPr>
    </w:p>
    <w:p>
      <w:pPr>
        <w:spacing w:line="600" w:lineRule="exact"/>
        <w:ind w:firstLine="360"/>
        <w:rPr>
          <w:rFonts w:ascii="宋体" w:hAnsi="宋体"/>
          <w:sz w:val="18"/>
          <w:szCs w:val="18"/>
        </w:rPr>
      </w:pPr>
    </w:p>
    <w:p>
      <w:pPr>
        <w:spacing w:line="600" w:lineRule="exact"/>
        <w:ind w:firstLine="360"/>
        <w:rPr>
          <w:rFonts w:ascii="宋体" w:hAnsi="宋体"/>
          <w:sz w:val="18"/>
          <w:szCs w:val="18"/>
        </w:rPr>
      </w:pPr>
    </w:p>
    <w:p>
      <w:pPr>
        <w:spacing w:line="600" w:lineRule="exact"/>
        <w:ind w:firstLine="360"/>
        <w:rPr>
          <w:rFonts w:ascii="宋体" w:hAnsi="宋体"/>
          <w:sz w:val="18"/>
          <w:szCs w:val="18"/>
        </w:rPr>
      </w:pPr>
    </w:p>
    <w:p>
      <w:pPr>
        <w:pStyle w:val="4"/>
        <w:spacing w:before="165" w:after="165" w:line="560" w:lineRule="exact"/>
        <w:rPr>
          <w:rFonts w:ascii="宋体" w:hAnsi="宋体"/>
          <w:bCs/>
          <w:kern w:val="0"/>
          <w:szCs w:val="28"/>
        </w:rPr>
      </w:pPr>
      <w:r>
        <w:rPr>
          <w:rFonts w:ascii="宋体" w:hAnsi="宋体"/>
          <w:bCs/>
          <w:kern w:val="0"/>
          <w:szCs w:val="28"/>
        </w:rPr>
        <w:t>突发灾情报告内容</w:t>
      </w:r>
    </w:p>
    <w:p>
      <w:pPr>
        <w:ind w:firstLine="480"/>
      </w:pPr>
      <w:r>
        <w:t>灾害基本情况：灾害发生的时间、地点、灾害类别、致灾原因、发展趋势及可能引起的次生衍生灾害。</w:t>
      </w:r>
      <w:r>
        <w:br w:type="textWrapping"/>
      </w:r>
      <w:r>
        <w:t>　　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r>
        <w:br w:type="textWrapping"/>
      </w:r>
      <w:r>
        <w:t>　　抗灾救灾部署和行动情况：预警预报发布、启动预案、群众转移、抗灾救灾部署和行动情况等。</w:t>
      </w:r>
    </w:p>
    <w:p>
      <w:pPr>
        <w:pStyle w:val="4"/>
        <w:spacing w:before="165" w:after="165" w:line="560" w:lineRule="exact"/>
        <w:rPr>
          <w:rFonts w:ascii="宋体" w:hAnsi="宋体"/>
          <w:bCs/>
          <w:kern w:val="0"/>
          <w:szCs w:val="28"/>
        </w:rPr>
      </w:pPr>
      <w:r>
        <w:rPr>
          <w:rFonts w:hint="eastAsia" w:ascii="宋体" w:hAnsi="宋体"/>
          <w:bCs/>
          <w:kern w:val="0"/>
          <w:szCs w:val="28"/>
        </w:rPr>
        <w:t>报告程序</w:t>
      </w:r>
    </w:p>
    <w:p>
      <w:pPr>
        <w:ind w:firstLine="480"/>
      </w:pPr>
      <w:r>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0" w:name="14"/>
      <w:bookmarkEnd w:id="20"/>
      <w:r>
        <w:t>突发险情、灾情报告分为首次报告和续报，原则上应以书面形式逐级上报，由各级防汛抗旱指挥部或其办事机构负责人签发。紧急情况下，可以采用电话或其他方式报告，并以书面形式及时补报。</w:t>
      </w:r>
      <w:bookmarkStart w:id="21" w:name="15"/>
      <w:bookmarkEnd w:id="21"/>
    </w:p>
    <w:p>
      <w:pPr>
        <w:ind w:firstLine="480"/>
      </w:pPr>
      <w:r>
        <w:t>突发险情、灾情发生后的首次报告指确认险情或灾情已经发生，在第一时间将所掌握的有关情况向上一级防汛抗旱指挥部报告。</w:t>
      </w:r>
    </w:p>
    <w:p>
      <w:pPr>
        <w:ind w:firstLine="480"/>
      </w:pPr>
      <w:r>
        <w:t>当发生重大突发险情或重大灾情时，</w:t>
      </w:r>
      <w:r>
        <w:rPr>
          <w:rFonts w:hint="eastAsia"/>
        </w:rPr>
        <w:t>王村镇防汛抗旱指挥部</w:t>
      </w:r>
      <w:r>
        <w:t>应在重大突发险情或重大灾情发生后</w:t>
      </w:r>
      <w:r>
        <w:rPr>
          <w:rFonts w:hint="eastAsia"/>
        </w:rPr>
        <w:t>1</w:t>
      </w:r>
      <w:r>
        <w:t>小时内报告</w:t>
      </w:r>
      <w:r>
        <w:rPr>
          <w:rFonts w:hint="eastAsia"/>
        </w:rPr>
        <w:t>周村区</w:t>
      </w:r>
      <w:r>
        <w:t>防汛抗旱指挥部。</w:t>
      </w:r>
      <w:bookmarkStart w:id="22" w:name="16"/>
      <w:bookmarkEnd w:id="22"/>
    </w:p>
    <w:p>
      <w:pPr>
        <w:ind w:firstLine="480"/>
      </w:pPr>
      <w:r>
        <w:t>续报指在突发险情、灾情发展过程中，</w:t>
      </w:r>
      <w:r>
        <w:rPr>
          <w:rFonts w:hint="eastAsia"/>
        </w:rPr>
        <w:t>王村镇</w:t>
      </w:r>
      <w:r>
        <w:t>防汛抗旱指挥部根据险情、灾情发展及抢险救灾的变化情况，对报告事件的补充报告。续报内容要求分类上报，并附险情、灾情图片。续报延续至险情排除、灾情稳定或结束。</w:t>
      </w:r>
      <w:bookmarkStart w:id="23" w:name="17"/>
      <w:bookmarkEnd w:id="23"/>
    </w:p>
    <w:p>
      <w:pPr>
        <w:pStyle w:val="4"/>
        <w:spacing w:before="165" w:after="165" w:line="560" w:lineRule="exact"/>
        <w:rPr>
          <w:rFonts w:ascii="宋体" w:hAnsi="宋体"/>
          <w:bCs/>
          <w:kern w:val="0"/>
          <w:szCs w:val="28"/>
        </w:rPr>
      </w:pPr>
      <w:r>
        <w:rPr>
          <w:rFonts w:ascii="宋体" w:hAnsi="宋体"/>
          <w:bCs/>
          <w:kern w:val="0"/>
          <w:szCs w:val="28"/>
        </w:rPr>
        <w:t>核实发布</w:t>
      </w:r>
    </w:p>
    <w:p>
      <w:pPr>
        <w:ind w:firstLine="480"/>
      </w:pPr>
      <w:r>
        <w:t>在突发险情排除、灾情稳定或结束后，</w:t>
      </w:r>
      <w:r>
        <w:rPr>
          <w:rFonts w:hint="eastAsia"/>
        </w:rPr>
        <w:t>王村镇防汛抗旱指挥部</w:t>
      </w:r>
      <w:r>
        <w:t>根据突发险情、灾情的严重程度及时组织有关部门调查核实，并书面报告</w:t>
      </w:r>
      <w:r>
        <w:rPr>
          <w:rFonts w:hint="eastAsia"/>
        </w:rPr>
        <w:t>周村区及淄博市</w:t>
      </w:r>
      <w:r>
        <w:t>防汛抗旱指挥部。</w:t>
      </w:r>
      <w:bookmarkStart w:id="24" w:name="18"/>
      <w:bookmarkEnd w:id="24"/>
    </w:p>
    <w:p>
      <w:pPr>
        <w:ind w:firstLine="480"/>
      </w:pPr>
      <w:r>
        <w:t>突发险情、灾情信息由</w:t>
      </w:r>
      <w:r>
        <w:rPr>
          <w:rFonts w:hint="eastAsia"/>
        </w:rPr>
        <w:t>王村镇防汛抗旱指挥部</w:t>
      </w:r>
      <w:r>
        <w:t>发布。发布的信息应及时报送</w:t>
      </w:r>
      <w:r>
        <w:rPr>
          <w:rFonts w:hint="eastAsia"/>
        </w:rPr>
        <w:t>上级</w:t>
      </w:r>
      <w:r>
        <w:t>防汛抗旱指挥部。</w:t>
      </w:r>
      <w:bookmarkStart w:id="25" w:name="19"/>
      <w:bookmarkEnd w:id="25"/>
    </w:p>
    <w:p>
      <w:pPr>
        <w:pStyle w:val="4"/>
        <w:spacing w:before="165" w:after="165" w:line="560" w:lineRule="exact"/>
        <w:rPr>
          <w:rFonts w:ascii="宋体" w:hAnsi="宋体"/>
          <w:bCs/>
          <w:kern w:val="0"/>
          <w:szCs w:val="28"/>
        </w:rPr>
      </w:pPr>
      <w:r>
        <w:rPr>
          <w:rFonts w:ascii="宋体" w:hAnsi="宋体"/>
          <w:bCs/>
          <w:kern w:val="0"/>
          <w:szCs w:val="28"/>
        </w:rPr>
        <w:t>检查监督</w:t>
      </w:r>
    </w:p>
    <w:p>
      <w:pPr>
        <w:ind w:firstLine="480"/>
      </w:pPr>
      <w:r>
        <w:rPr>
          <w:rFonts w:hint="eastAsia"/>
        </w:rPr>
        <w:t>王村镇防汛抗旱指挥部</w:t>
      </w:r>
      <w:r>
        <w:t>要加强对突发险情、灾情报告工作的检查、监督、指导，对险情、灾情报告不及时、信息处理失误的，应予以通报批评。造成损失的，要追究相关人员的责任。</w:t>
      </w:r>
      <w:bookmarkStart w:id="26" w:name="20"/>
      <w:bookmarkEnd w:id="26"/>
    </w:p>
    <w:p>
      <w:pPr>
        <w:pStyle w:val="2"/>
        <w:spacing w:before="165" w:after="165"/>
      </w:pPr>
      <w:bookmarkStart w:id="27" w:name="_Toc518843423"/>
      <w:r>
        <w:rPr>
          <w:rFonts w:hint="eastAsia"/>
        </w:rPr>
        <w:t>险情抢护</w:t>
      </w:r>
      <w:bookmarkEnd w:id="27"/>
    </w:p>
    <w:p>
      <w:pPr>
        <w:pStyle w:val="3"/>
        <w:spacing w:before="165" w:after="165"/>
      </w:pPr>
      <w:bookmarkStart w:id="28" w:name="_Toc518843424"/>
      <w:r>
        <w:rPr>
          <w:rFonts w:hint="eastAsia"/>
        </w:rPr>
        <w:t>抢险调度</w:t>
      </w:r>
      <w:bookmarkEnd w:id="28"/>
    </w:p>
    <w:p>
      <w:pPr>
        <w:pStyle w:val="4"/>
        <w:spacing w:before="165" w:after="165" w:line="560" w:lineRule="exact"/>
        <w:rPr>
          <w:rFonts w:ascii="宋体" w:hAnsi="宋体"/>
          <w:bCs/>
          <w:kern w:val="0"/>
          <w:szCs w:val="28"/>
        </w:rPr>
      </w:pPr>
      <w:r>
        <w:rPr>
          <w:rFonts w:hint="eastAsia" w:ascii="宋体" w:hAnsi="宋体"/>
          <w:bCs/>
          <w:kern w:val="0"/>
          <w:szCs w:val="28"/>
        </w:rPr>
        <w:t>水库应急调度方案</w:t>
      </w:r>
    </w:p>
    <w:p>
      <w:pPr>
        <w:ind w:firstLine="480"/>
      </w:pPr>
      <w:r>
        <w:rPr>
          <w:rFonts w:hint="eastAsia"/>
        </w:rPr>
        <w:t>1、险情等级的确定</w:t>
      </w:r>
    </w:p>
    <w:p>
      <w:pPr>
        <w:ind w:firstLine="480"/>
      </w:pPr>
      <w:r>
        <w:rPr>
          <w:rFonts w:hint="eastAsia"/>
        </w:rPr>
        <w:t>水库遭遇突发事件时，由王村镇防汛抢险专家组根据险情，参照3.1.2的险情等级分析确定险情等级。</w:t>
      </w:r>
    </w:p>
    <w:p>
      <w:pPr>
        <w:ind w:firstLine="480"/>
      </w:pPr>
      <w:r>
        <w:rPr>
          <w:rFonts w:hint="eastAsia"/>
        </w:rPr>
        <w:t>2、不同等级险情抢险调度方案</w:t>
      </w:r>
    </w:p>
    <w:p>
      <w:pPr>
        <w:ind w:firstLine="480"/>
      </w:pPr>
      <w:r>
        <w:rPr>
          <w:rFonts w:hint="eastAsia"/>
        </w:rPr>
        <w:t>（1）Ⅲ级险情</w:t>
      </w:r>
    </w:p>
    <w:p>
      <w:pPr>
        <w:ind w:firstLine="480"/>
      </w:pPr>
      <w:r>
        <w:rPr>
          <w:rFonts w:hint="eastAsia"/>
        </w:rPr>
        <w:t>水库管理单位向王村镇防汛抗旱指挥部报告，由王村镇防汛抢险技术人员核实，确定险情等级为Ⅲ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东道水库防洪抢险应急预案》Ⅲ级响应行动。</w:t>
      </w:r>
    </w:p>
    <w:p>
      <w:pPr>
        <w:ind w:firstLine="480"/>
      </w:pPr>
      <w:r>
        <w:rPr>
          <w:rFonts w:hint="eastAsia"/>
        </w:rPr>
        <w:t>①区防汛抗旱指挥部立即派防汛抢险技术人员赴抢险现场进行技术指导。</w:t>
      </w:r>
    </w:p>
    <w:p>
      <w:pPr>
        <w:ind w:firstLine="480"/>
      </w:pPr>
      <w:r>
        <w:rPr>
          <w:rFonts w:hint="eastAsia"/>
        </w:rPr>
        <w:t>②成员单位按照职责分工开展工作。</w:t>
      </w:r>
    </w:p>
    <w:p>
      <w:pPr>
        <w:ind w:firstLine="480"/>
      </w:pPr>
      <w:r>
        <w:rPr>
          <w:rFonts w:hint="eastAsia"/>
        </w:rPr>
        <w:t>③水库管理单位汇报水库水情、工情及险情；气象部门发布天气预报；水文部门发布洪水预报。</w:t>
      </w:r>
    </w:p>
    <w:p>
      <w:pPr>
        <w:ind w:firstLine="480"/>
      </w:pPr>
      <w:r>
        <w:rPr>
          <w:rFonts w:hint="eastAsia"/>
        </w:rPr>
        <w:t>④由水库应急抢险指挥部组织会商后，进行洪水调度。</w:t>
      </w:r>
    </w:p>
    <w:p>
      <w:pPr>
        <w:ind w:firstLine="480"/>
      </w:pPr>
      <w:r>
        <w:rPr>
          <w:rFonts w:hint="eastAsia"/>
        </w:rPr>
        <w:t>⑤水库应急抢险指挥部命令水库常备队到达出险现场进行抢险，根据险情需要可调用水库防汛抢险队或预备队。</w:t>
      </w:r>
    </w:p>
    <w:p>
      <w:pPr>
        <w:ind w:firstLine="480"/>
      </w:pPr>
      <w:r>
        <w:rPr>
          <w:rFonts w:hint="eastAsia"/>
        </w:rPr>
        <w:t>⑥应急抢险过程中，水库应急抢险指挥部要及时向上有部门汇报抢险进展情况。</w:t>
      </w:r>
    </w:p>
    <w:p>
      <w:pPr>
        <w:ind w:firstLine="480"/>
      </w:pPr>
      <w:r>
        <w:rPr>
          <w:rFonts w:hint="eastAsia"/>
        </w:rPr>
        <w:t>⑦当险情已经得到有效控制或排险时，防汛抢险技术人员现场核实后，经批准后，结束Ⅲ级响应行动。</w:t>
      </w:r>
    </w:p>
    <w:p>
      <w:pPr>
        <w:ind w:firstLine="480"/>
      </w:pPr>
      <w:r>
        <w:rPr>
          <w:rFonts w:hint="eastAsia"/>
        </w:rPr>
        <w:t>⑧应急抢险工作结束后，应急指挥机构予以撤消。</w:t>
      </w:r>
    </w:p>
    <w:p>
      <w:pPr>
        <w:ind w:firstLine="480"/>
      </w:pPr>
      <w:r>
        <w:rPr>
          <w:rFonts w:hint="eastAsia"/>
        </w:rPr>
        <w:t>（2）Ⅱ级险情</w:t>
      </w:r>
    </w:p>
    <w:p>
      <w:pPr>
        <w:ind w:firstLine="480"/>
      </w:pPr>
      <w:r>
        <w:rPr>
          <w:rFonts w:hint="eastAsia"/>
        </w:rPr>
        <w:t>水库管理单位向王村镇防汛抗旱指挥部报告，由王村镇防汛抢险技术人员核实，确定险情等级为Ⅱ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东道水库防洪抢险应急预案》Ⅱ级响应行动，同时将情况上报市防汛抗旱指挥部。</w:t>
      </w:r>
    </w:p>
    <w:p>
      <w:pPr>
        <w:ind w:firstLine="480"/>
      </w:pPr>
      <w:r>
        <w:rPr>
          <w:rFonts w:hint="eastAsia"/>
        </w:rPr>
        <w:t>Ⅱ级响应行动除采取Ⅲ级响应行动中的有关措施外，增加以下措施：</w:t>
      </w:r>
    </w:p>
    <w:p>
      <w:pPr>
        <w:ind w:firstLine="480"/>
      </w:pPr>
      <w:r>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pPr>
        <w:ind w:firstLine="480"/>
      </w:pPr>
      <w:r>
        <w:rPr>
          <w:rFonts w:hint="eastAsia"/>
        </w:rPr>
        <w:t>②周村区防汛抗旱指挥部副指挥带领市防汛抗旱指挥部有关人员亲临现场，指挥抢险，通知可能淹没范围内各级政府做好群众转移工作。</w:t>
      </w:r>
    </w:p>
    <w:p>
      <w:pPr>
        <w:ind w:firstLine="480"/>
      </w:pPr>
      <w:r>
        <w:rPr>
          <w:rFonts w:hint="eastAsia"/>
        </w:rPr>
        <w:t>③淹没范围内的有关各级党委政府负责人、防汛抗旱指挥部成员单位负责人要按照防汛责任制分工要求，亲临一线。</w:t>
      </w:r>
    </w:p>
    <w:p>
      <w:pPr>
        <w:ind w:firstLine="480"/>
      </w:pPr>
      <w:r>
        <w:rPr>
          <w:rFonts w:hint="eastAsia"/>
        </w:rPr>
        <w:t>④水库应急抢险指挥部命令水库常备队和抢险队，在规定的时间内到达水库指定位置抢险，视险情需要，按调动程序调用部队。</w:t>
      </w:r>
    </w:p>
    <w:p>
      <w:pPr>
        <w:ind w:firstLine="480"/>
      </w:pPr>
      <w:r>
        <w:rPr>
          <w:rFonts w:hint="eastAsia"/>
        </w:rPr>
        <w:t>⑤物资、交通部门接水库应急抢险指挥部指令后，要立即组织，紧急调运抢险物资，满足抢护重大险情的需要；交通部门还要做好群众安全转移的运输工作。</w:t>
      </w:r>
    </w:p>
    <w:p>
      <w:pPr>
        <w:ind w:firstLine="480"/>
      </w:pPr>
      <w:r>
        <w:rPr>
          <w:rFonts w:hint="eastAsia"/>
        </w:rPr>
        <w:t>⑥电力、通讯部门要确保供电和通讯联络畅通，按预定应急保障方案，充分利用现有设备为防汛抢险服务。</w:t>
      </w:r>
    </w:p>
    <w:p>
      <w:pPr>
        <w:ind w:firstLine="480"/>
      </w:pPr>
      <w:r>
        <w:rPr>
          <w:rFonts w:hint="eastAsia"/>
        </w:rPr>
        <w:t>⑦卫生防疫部门接指令后，要立即组织医疗队和防疫队赶赴灾区巡回医疗，现场做好抢险人员、灾区群众的医疗、卫生防疫工作。</w:t>
      </w:r>
    </w:p>
    <w:p>
      <w:pPr>
        <w:ind w:firstLine="480"/>
      </w:pPr>
      <w:r>
        <w:rPr>
          <w:rFonts w:hint="eastAsia"/>
        </w:rPr>
        <w:t>⑧公安部门要组织力量做好抢险第一线及群众转移、安置的安全保卫工作，维持治安秩序，经有关部门批准实行紧急交通管制，开设应急“绿色通道”，保证应急救援抢险工作的顺利开展。</w:t>
      </w:r>
    </w:p>
    <w:p>
      <w:pPr>
        <w:ind w:firstLine="480"/>
      </w:pPr>
      <w:r>
        <w:rPr>
          <w:rFonts w:hint="eastAsia"/>
        </w:rPr>
        <w:t>⑨广播、电视等新闻媒体要派记者深入抢险一线进行采访报道，并经批准发布险情信息。民政部门要组织确保转移群众的生活供应，发动社会力量对灾区群众实施援助救济活动。</w:t>
      </w:r>
    </w:p>
    <w:p>
      <w:pPr>
        <w:ind w:firstLine="480"/>
      </w:pPr>
      <w:r>
        <w:rPr>
          <w:rFonts w:hint="eastAsia"/>
        </w:rPr>
        <w:t>⑩抢险期间征用或调用的物资、设备、交通运输工具等，结束后应当及时归还；造成损坏或无法归还的，按照有关规定给予适当的补偿或者作其他处理。</w:t>
      </w:r>
    </w:p>
    <w:p>
      <w:pPr>
        <w:tabs>
          <w:tab w:val="left" w:pos="2512"/>
        </w:tabs>
        <w:ind w:firstLine="480"/>
      </w:pPr>
      <w:r>
        <w:rPr>
          <w:rFonts w:hint="eastAsia"/>
        </w:rPr>
        <w:t>（3）I级险情</w:t>
      </w:r>
    </w:p>
    <w:p>
      <w:pPr>
        <w:ind w:firstLine="480"/>
      </w:pPr>
      <w:r>
        <w:rPr>
          <w:rFonts w:hint="eastAsia"/>
        </w:rPr>
        <w:t>水库管理单位向周村区防汛抗旱指挥部报告，由周村区防汛抢险技术人员核实，确定险情等级为I级险情时，周村区防汛抗旱指挥部指挥主持召开防汛抢险工作会议，成立以周村区防汛抗旱指挥部副指挥任指挥长，周村区防汛抗旱指挥部及王村镇防汛抗旱指挥部为成员单位的水库应急抢险指挥部，作出相应工作部署，启动《东道水库防洪抢险应急预案》I级响应行动，同时将情况上报市防汛抗旱指挥部、市政府。</w:t>
      </w:r>
    </w:p>
    <w:p>
      <w:pPr>
        <w:ind w:firstLine="480"/>
      </w:pPr>
      <w:r>
        <w:rPr>
          <w:rFonts w:hint="eastAsia"/>
        </w:rPr>
        <w:t>I级响应行动除采取Ⅱ级响应行动中的有关措施外，增加以下措施：</w:t>
      </w:r>
    </w:p>
    <w:p>
      <w:pPr>
        <w:ind w:firstLine="480"/>
      </w:pPr>
      <w:r>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pPr>
        <w:ind w:firstLine="480"/>
      </w:pPr>
      <w:r>
        <w:rPr>
          <w:rFonts w:hint="eastAsia"/>
        </w:rPr>
        <w:t>②淹没范围内的有关各级政府负责人、防汛抗旱指挥部成员要按照防汛责任制分工要求，亲临一线指挥抢险及人员财产转移工作。</w:t>
      </w:r>
    </w:p>
    <w:p>
      <w:pPr>
        <w:ind w:firstLine="480"/>
      </w:pPr>
      <w:r>
        <w:rPr>
          <w:rFonts w:hint="eastAsia"/>
        </w:rPr>
        <w:t>③水库应急抢险指挥部命令水库管理单位所有抢险队、预备队在规定时间内到达水库指定位置（详见6.2章的抢险任务），并请求调动人民解放军、预备役部队、武警部队和公安干警参加抢险。</w:t>
      </w:r>
    </w:p>
    <w:p>
      <w:pPr>
        <w:pStyle w:val="4"/>
        <w:spacing w:before="165" w:after="165" w:line="560" w:lineRule="exact"/>
        <w:rPr>
          <w:rFonts w:ascii="宋体" w:hAnsi="宋体"/>
          <w:bCs/>
          <w:kern w:val="0"/>
          <w:szCs w:val="28"/>
        </w:rPr>
      </w:pPr>
      <w:r>
        <w:rPr>
          <w:rFonts w:hint="eastAsia" w:ascii="宋体" w:hAnsi="宋体"/>
          <w:bCs/>
          <w:kern w:val="0"/>
          <w:szCs w:val="28"/>
        </w:rPr>
        <w:t>水库应急调度权限、执行部门</w:t>
      </w:r>
    </w:p>
    <w:p>
      <w:pPr>
        <w:ind w:firstLine="480"/>
      </w:pPr>
      <w:r>
        <w:rPr>
          <w:rFonts w:hint="eastAsia"/>
        </w:rPr>
        <w:t>水库调度权限为淄博市防汛抗旱指挥部，周村区防汛抗旱指挥部和水库防汛抗旱防指挥部根据市防指的决定执行洪水调度。</w:t>
      </w:r>
    </w:p>
    <w:p>
      <w:pPr>
        <w:ind w:firstLine="480"/>
      </w:pPr>
      <w:r>
        <w:rPr>
          <w:rFonts w:hint="eastAsia"/>
        </w:rPr>
        <w:t>水库的应急抢险调度方案，由水库应急抢险指挥部统一指挥，由水库管理单位负责执行，水库应急抢险指挥部成员单位各司其职，密切配合，全力做好各自工作。</w:t>
      </w:r>
    </w:p>
    <w:p>
      <w:pPr>
        <w:pStyle w:val="3"/>
        <w:spacing w:before="165" w:after="165"/>
      </w:pPr>
      <w:bookmarkStart w:id="29" w:name="_Toc518843425"/>
      <w:r>
        <w:rPr>
          <w:rFonts w:hint="eastAsia"/>
        </w:rPr>
        <w:t>抢险措施</w:t>
      </w:r>
      <w:bookmarkEnd w:id="29"/>
    </w:p>
    <w:p>
      <w:pPr>
        <w:ind w:firstLine="480"/>
      </w:pPr>
      <w:bookmarkStart w:id="30" w:name="_Toc130785386"/>
      <w:bookmarkStart w:id="31" w:name="_Toc131135658"/>
      <w:bookmarkStart w:id="32" w:name="_Toc131072297"/>
      <w:bookmarkStart w:id="33" w:name="_Toc199771676"/>
      <w:r>
        <w:rPr>
          <w:rFonts w:hint="eastAsia"/>
        </w:rPr>
        <w:t>1、做好天气及洪水预报</w:t>
      </w:r>
    </w:p>
    <w:p>
      <w:pPr>
        <w:ind w:firstLine="480"/>
      </w:pPr>
      <w:r>
        <w:rPr>
          <w:rFonts w:hint="eastAsia"/>
        </w:rPr>
        <w:t>气象部门要加强对灾害性天气的监测和预报，水文部门对洪水发生和变化过程作出科学预测，提高防汛调度的科学性和预见性。</w:t>
      </w:r>
    </w:p>
    <w:p>
      <w:pPr>
        <w:ind w:firstLine="480"/>
      </w:pPr>
      <w:r>
        <w:rPr>
          <w:rFonts w:hint="eastAsia"/>
        </w:rPr>
        <w:t>2、千方百计降低库水位。</w:t>
      </w:r>
    </w:p>
    <w:p>
      <w:pPr>
        <w:ind w:firstLine="480"/>
      </w:pPr>
      <w:r>
        <w:rPr>
          <w:rFonts w:hint="eastAsia"/>
        </w:rPr>
        <w:t>3、根据不同险情制定相应的抢护措施</w:t>
      </w:r>
    </w:p>
    <w:p>
      <w:pPr>
        <w:ind w:firstLine="480"/>
      </w:pPr>
      <w:r>
        <w:rPr>
          <w:rFonts w:hint="eastAsia"/>
        </w:rPr>
        <w:t>⑴、渗漏</w:t>
      </w:r>
    </w:p>
    <w:p>
      <w:pPr>
        <w:ind w:firstLine="480"/>
      </w:pPr>
      <w:r>
        <w:rPr>
          <w:rFonts w:hint="eastAsia"/>
        </w:rPr>
        <w:t>①抢护方法：临水截渗防漏、背水导渗减压。</w:t>
      </w:r>
    </w:p>
    <w:p>
      <w:pPr>
        <w:ind w:firstLine="480"/>
      </w:pPr>
      <w:r>
        <w:rPr>
          <w:rFonts w:hint="eastAsia"/>
        </w:rPr>
        <w:t>②抢险物料：土工布、编织袋、草袋、麻袋、砂石、钢管等物资。</w:t>
      </w:r>
    </w:p>
    <w:p>
      <w:pPr>
        <w:ind w:firstLine="480"/>
      </w:pPr>
      <w:r>
        <w:rPr>
          <w:rFonts w:hint="eastAsia"/>
        </w:rPr>
        <w:t>⑵、漏洞</w:t>
      </w:r>
    </w:p>
    <w:p>
      <w:pPr>
        <w:ind w:firstLine="480"/>
      </w:pPr>
      <w:r>
        <w:rPr>
          <w:rFonts w:hint="eastAsia"/>
        </w:rPr>
        <w:t>①抢护方法：软帘盖堵、软楔堵塞、抛填粘土前戗。</w:t>
      </w:r>
    </w:p>
    <w:p>
      <w:pPr>
        <w:ind w:firstLine="480"/>
      </w:pPr>
      <w:r>
        <w:rPr>
          <w:rFonts w:hint="eastAsia"/>
        </w:rPr>
        <w:t>②抢险物料：棉被、土工膜、草捆、麻袋、泥土、砂石等物资。</w:t>
      </w:r>
    </w:p>
    <w:p>
      <w:pPr>
        <w:ind w:firstLine="480"/>
      </w:pPr>
      <w:r>
        <w:rPr>
          <w:rFonts w:hint="eastAsia"/>
        </w:rPr>
        <w:t>⑶、塌坑</w:t>
      </w:r>
    </w:p>
    <w:p>
      <w:pPr>
        <w:ind w:firstLine="480"/>
      </w:pPr>
      <w:r>
        <w:rPr>
          <w:rFonts w:hint="eastAsia"/>
        </w:rPr>
        <w:t>①抢护方法：翻压夯实、填塞封堵、填筑滤料。</w:t>
      </w:r>
    </w:p>
    <w:p>
      <w:pPr>
        <w:ind w:firstLine="480"/>
      </w:pPr>
      <w:r>
        <w:rPr>
          <w:rFonts w:hint="eastAsia"/>
        </w:rPr>
        <w:t>②抢险物料：土工布、土工膜、棉被、草捆、麻袋、泥土、砂石等物资。</w:t>
      </w:r>
    </w:p>
    <w:p>
      <w:pPr>
        <w:ind w:firstLine="480"/>
      </w:pPr>
      <w:r>
        <w:rPr>
          <w:rFonts w:hint="eastAsia"/>
        </w:rPr>
        <w:t>⑷、非滑坡裂缝</w:t>
      </w:r>
    </w:p>
    <w:p>
      <w:pPr>
        <w:ind w:firstLine="480"/>
      </w:pPr>
      <w:r>
        <w:rPr>
          <w:rFonts w:hint="eastAsia"/>
        </w:rPr>
        <w:t>①抢护方法：塑料膜覆盖、开挖回填。</w:t>
      </w:r>
    </w:p>
    <w:p>
      <w:pPr>
        <w:ind w:firstLine="480"/>
      </w:pPr>
      <w:r>
        <w:rPr>
          <w:rFonts w:hint="eastAsia"/>
        </w:rPr>
        <w:t>②抢险物料：塑料膜、石灰、沙壤土等。</w:t>
      </w:r>
    </w:p>
    <w:p>
      <w:pPr>
        <w:ind w:firstLine="480"/>
      </w:pPr>
      <w:r>
        <w:rPr>
          <w:rFonts w:hint="eastAsia"/>
        </w:rPr>
        <w:t>⑸、滑坡</w:t>
      </w:r>
    </w:p>
    <w:p>
      <w:pPr>
        <w:ind w:firstLine="480"/>
      </w:pPr>
      <w:r>
        <w:rPr>
          <w:rFonts w:hint="eastAsia"/>
        </w:rPr>
        <w:t>①抢护方法：塑料膜覆盖、抛石固脚阻滑、临水截渗、背水导渗、上部减载。</w:t>
      </w:r>
    </w:p>
    <w:p>
      <w:pPr>
        <w:ind w:firstLine="480"/>
      </w:pPr>
      <w:r>
        <w:rPr>
          <w:rFonts w:hint="eastAsia"/>
        </w:rPr>
        <w:t>②抢险物料：土工膜、土工布、编织袋、砂、石、土等。</w:t>
      </w:r>
    </w:p>
    <w:p>
      <w:pPr>
        <w:ind w:firstLine="480"/>
      </w:pPr>
      <w:r>
        <w:rPr>
          <w:rFonts w:hint="eastAsia"/>
        </w:rPr>
        <w:t>⑹、风浪淘刷</w:t>
      </w:r>
    </w:p>
    <w:p>
      <w:pPr>
        <w:ind w:firstLine="480"/>
      </w:pPr>
      <w:r>
        <w:rPr>
          <w:rFonts w:hint="eastAsia"/>
        </w:rPr>
        <w:t>①抢护方法：砂袋压盖、抛石抢护、石笼抢护。</w:t>
      </w:r>
    </w:p>
    <w:p>
      <w:pPr>
        <w:ind w:firstLine="480"/>
      </w:pPr>
      <w:r>
        <w:rPr>
          <w:rFonts w:hint="eastAsia"/>
        </w:rPr>
        <w:t>②抢险物料：编织袋、铁笼、砂、石等。</w:t>
      </w:r>
    </w:p>
    <w:p>
      <w:pPr>
        <w:ind w:firstLine="480"/>
      </w:pPr>
      <w:r>
        <w:rPr>
          <w:rFonts w:hint="eastAsia"/>
        </w:rPr>
        <w:t>⑺、泄水建筑物与土坝结合部位渗漏</w:t>
      </w:r>
    </w:p>
    <w:p>
      <w:pPr>
        <w:ind w:firstLine="480"/>
      </w:pPr>
      <w:r>
        <w:rPr>
          <w:rFonts w:hint="eastAsia"/>
        </w:rPr>
        <w:t>①抢护方法：临水截渗、背水导渗。</w:t>
      </w:r>
    </w:p>
    <w:p>
      <w:pPr>
        <w:ind w:firstLine="480"/>
      </w:pPr>
      <w:r>
        <w:rPr>
          <w:rFonts w:hint="eastAsia"/>
        </w:rPr>
        <w:t>②抢险物料：土工膜、土工布、编织袋、草袋、麻袋、砂石、钢管等物资。</w:t>
      </w:r>
    </w:p>
    <w:p>
      <w:pPr>
        <w:ind w:firstLine="480"/>
      </w:pPr>
      <w:r>
        <w:rPr>
          <w:rFonts w:hint="eastAsia"/>
        </w:rPr>
        <w:t>⑻、输、泄水建筑物裂缝</w:t>
      </w:r>
    </w:p>
    <w:p>
      <w:pPr>
        <w:ind w:firstLine="480"/>
      </w:pPr>
      <w:r>
        <w:rPr>
          <w:rFonts w:hint="eastAsia"/>
        </w:rPr>
        <w:t>①抢护方法：环氧砂浆堵漏、防水快砂浆堵漏。</w:t>
      </w:r>
    </w:p>
    <w:p>
      <w:pPr>
        <w:ind w:firstLine="480"/>
      </w:pPr>
      <w:r>
        <w:rPr>
          <w:rFonts w:hint="eastAsia"/>
        </w:rPr>
        <w:t>②抢险物料：环氧树脂、二丁脂、乙二胺、水泥、沥青麻丝、沙子等。</w:t>
      </w:r>
    </w:p>
    <w:bookmarkEnd w:id="30"/>
    <w:bookmarkEnd w:id="31"/>
    <w:bookmarkEnd w:id="32"/>
    <w:bookmarkEnd w:id="33"/>
    <w:p>
      <w:pPr>
        <w:pStyle w:val="3"/>
        <w:spacing w:before="165" w:after="165"/>
      </w:pPr>
      <w:bookmarkStart w:id="34" w:name="_Toc518843426"/>
      <w:r>
        <w:rPr>
          <w:rFonts w:hint="eastAsia"/>
        </w:rPr>
        <w:t>应急转移</w:t>
      </w:r>
      <w:bookmarkEnd w:id="34"/>
    </w:p>
    <w:p>
      <w:pPr>
        <w:ind w:firstLine="480"/>
      </w:pPr>
      <w:r>
        <w:rPr>
          <w:rFonts w:hint="eastAsia"/>
        </w:rPr>
        <w:t>遇到超标准洪水或突发性事件，人力不可抗拒，当洪水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pPr>
        <w:pStyle w:val="4"/>
        <w:spacing w:before="165" w:after="165" w:line="560" w:lineRule="exact"/>
        <w:rPr>
          <w:rFonts w:ascii="宋体" w:hAnsi="宋体"/>
          <w:bCs/>
          <w:szCs w:val="28"/>
        </w:rPr>
      </w:pPr>
      <w:r>
        <w:rPr>
          <w:rFonts w:hint="eastAsia" w:ascii="宋体" w:hAnsi="宋体"/>
          <w:bCs/>
          <w:szCs w:val="28"/>
        </w:rPr>
        <w:t>人员及财产转移安置任务</w:t>
      </w:r>
    </w:p>
    <w:p>
      <w:pPr>
        <w:ind w:firstLine="480"/>
      </w:pPr>
      <w:r>
        <w:rPr>
          <w:rFonts w:hint="eastAsia"/>
        </w:rPr>
        <w:t>当水库出现险情后，由区防汛抗旱指挥部负责群众转移、安置、救灾、抚恤等工作。有关乡镇分别负责辖区内的群众安全转移与安置工作。</w:t>
      </w:r>
    </w:p>
    <w:p>
      <w:pPr>
        <w:pStyle w:val="4"/>
        <w:spacing w:before="165" w:after="165" w:line="560" w:lineRule="exact"/>
        <w:rPr>
          <w:rFonts w:ascii="宋体" w:hAnsi="宋体"/>
          <w:bCs/>
          <w:szCs w:val="28"/>
        </w:rPr>
      </w:pPr>
      <w:r>
        <w:rPr>
          <w:rFonts w:hint="eastAsia" w:ascii="宋体" w:hAnsi="宋体"/>
          <w:bCs/>
          <w:szCs w:val="28"/>
        </w:rPr>
        <w:t>转移原则</w:t>
      </w:r>
    </w:p>
    <w:p>
      <w:pPr>
        <w:ind w:firstLine="480"/>
      </w:pPr>
      <w:r>
        <w:rPr>
          <w:rFonts w:hint="eastAsia"/>
        </w:rPr>
        <w:t>1、转移地点、路线确定以就近、安全和便于转移为原则。</w:t>
      </w:r>
    </w:p>
    <w:p>
      <w:pPr>
        <w:ind w:firstLine="480"/>
      </w:pPr>
      <w:r>
        <w:rPr>
          <w:rFonts w:hint="eastAsia"/>
        </w:rPr>
        <w:t>2、转移安置应遵循先人员后财产，先老弱病残人员后一般人员以及集体，有组织转移为主的原则。</w:t>
      </w:r>
    </w:p>
    <w:p>
      <w:pPr>
        <w:ind w:firstLine="480"/>
      </w:pPr>
      <w:r>
        <w:rPr>
          <w:rFonts w:hint="eastAsia"/>
        </w:rPr>
        <w:t>3、条件允许宜在本行政区内转移。</w:t>
      </w:r>
    </w:p>
    <w:p>
      <w:pPr>
        <w:ind w:firstLine="480"/>
      </w:pPr>
      <w:r>
        <w:rPr>
          <w:rFonts w:hint="eastAsia"/>
        </w:rPr>
        <w:t>4、严谨跨河转移，以免转移过程中发生险情。</w:t>
      </w:r>
    </w:p>
    <w:p>
      <w:pPr>
        <w:ind w:firstLine="480"/>
      </w:pPr>
      <w:r>
        <w:rPr>
          <w:rFonts w:hint="eastAsia"/>
        </w:rPr>
        <w:t>5、移工作采取村、组干部层层包干负责的办法实施，明确转移安置纪律，统一指挥、安全第一。</w:t>
      </w:r>
    </w:p>
    <w:p>
      <w:pPr>
        <w:ind w:firstLine="480"/>
      </w:pPr>
      <w:r>
        <w:rPr>
          <w:rFonts w:hint="eastAsia"/>
        </w:rPr>
        <w:t>6、各社区应提前明确转移路线、时机、安置地点、转移安置责任人等有关信息发到危险住户，并制作标识牌，标明安全区，危险区、安置地点等。</w:t>
      </w:r>
    </w:p>
    <w:p>
      <w:pPr>
        <w:pStyle w:val="4"/>
        <w:spacing w:before="165" w:after="165" w:line="560" w:lineRule="exact"/>
        <w:rPr>
          <w:rFonts w:ascii="宋体" w:hAnsi="宋体"/>
          <w:bCs/>
          <w:szCs w:val="28"/>
        </w:rPr>
      </w:pPr>
      <w:r>
        <w:rPr>
          <w:rFonts w:hint="eastAsia" w:ascii="宋体" w:hAnsi="宋体"/>
          <w:bCs/>
          <w:szCs w:val="28"/>
        </w:rPr>
        <w:t>转移方案</w:t>
      </w:r>
    </w:p>
    <w:p>
      <w:pPr>
        <w:ind w:firstLine="480"/>
      </w:pPr>
      <w:r>
        <w:rPr>
          <w:rFonts w:hint="eastAsia"/>
        </w:rPr>
        <w:t>当东道水库出现溃决等险情时，主要转移东道水库下游东道村的村民，转移地点：东道南山。转移路线：东道老村沿村南路，向东南方向走到转移地点。</w:t>
      </w:r>
    </w:p>
    <w:p>
      <w:pPr>
        <w:ind w:firstLine="480"/>
      </w:pPr>
      <w:r>
        <w:rPr>
          <w:rFonts w:hint="eastAsia"/>
        </w:rPr>
        <w:t>当水库发生险情时，人员和财产的转移、安置工作由王村镇人民政府负责具体组织实施。</w:t>
      </w:r>
    </w:p>
    <w:p>
      <w:pPr>
        <w:pStyle w:val="4"/>
        <w:spacing w:before="165" w:after="165" w:line="560" w:lineRule="exact"/>
        <w:rPr>
          <w:rFonts w:ascii="宋体" w:hAnsi="宋体"/>
          <w:bCs/>
          <w:szCs w:val="28"/>
        </w:rPr>
      </w:pPr>
      <w:r>
        <w:rPr>
          <w:rFonts w:hint="eastAsia" w:ascii="宋体" w:hAnsi="宋体"/>
          <w:bCs/>
          <w:szCs w:val="28"/>
        </w:rPr>
        <w:t>转移警报发布条件、形式、权限及送达对象</w:t>
      </w:r>
    </w:p>
    <w:p>
      <w:pPr>
        <w:ind w:firstLine="480"/>
      </w:pPr>
      <w:r>
        <w:rPr>
          <w:rFonts w:hint="eastAsia"/>
        </w:rPr>
        <w:t>1、转移警报发布条件</w:t>
      </w:r>
    </w:p>
    <w:p>
      <w:pPr>
        <w:ind w:firstLine="480"/>
      </w:pPr>
      <w:r>
        <w:rPr>
          <w:rFonts w:hint="eastAsia"/>
        </w:rPr>
        <w:t>（1）遇超现状标准洪水或水库出现溃坝可能时。</w:t>
      </w:r>
    </w:p>
    <w:p>
      <w:pPr>
        <w:ind w:firstLine="480"/>
      </w:pPr>
      <w:r>
        <w:rPr>
          <w:rFonts w:hint="eastAsia"/>
        </w:rPr>
        <w:t>（2）在遭遇超设防标准地震或战争袭击等造成坝体发生结构性破坏无法抢护时。</w:t>
      </w:r>
    </w:p>
    <w:p>
      <w:pPr>
        <w:ind w:firstLine="480"/>
      </w:pPr>
      <w:r>
        <w:rPr>
          <w:rFonts w:hint="eastAsia"/>
        </w:rPr>
        <w:t>（3）依据已发生的洪水量级，经过水库调洪计算已预计到可能出现的最大泄量，会对下游造成严重危害时。</w:t>
      </w:r>
    </w:p>
    <w:p>
      <w:pPr>
        <w:ind w:firstLine="480"/>
      </w:pPr>
      <w:r>
        <w:rPr>
          <w:rFonts w:hint="eastAsia"/>
        </w:rPr>
        <w:t>2、撤离警报发布形式</w:t>
      </w:r>
    </w:p>
    <w:p>
      <w:pPr>
        <w:ind w:firstLine="480"/>
      </w:pPr>
      <w:r>
        <w:rPr>
          <w:rFonts w:hint="eastAsia"/>
        </w:rPr>
        <w:t>当发生非常洪水时，可利用有线电话、无线通讯、声响信号、照明信号、预警车通知下游村庄。</w:t>
      </w:r>
    </w:p>
    <w:p>
      <w:pPr>
        <w:ind w:firstLine="480"/>
      </w:pPr>
      <w:r>
        <w:rPr>
          <w:rFonts w:hint="eastAsia"/>
        </w:rPr>
        <w:t>3、撤离警报发布权限</w:t>
      </w:r>
    </w:p>
    <w:p>
      <w:pPr>
        <w:ind w:firstLine="480"/>
      </w:pPr>
      <w:r>
        <w:rPr>
          <w:rFonts w:hint="eastAsia"/>
        </w:rPr>
        <w:t>由水库防汛应急抢险指挥部统一发布。</w:t>
      </w:r>
    </w:p>
    <w:p>
      <w:pPr>
        <w:pStyle w:val="4"/>
        <w:spacing w:before="165" w:after="165" w:line="560" w:lineRule="exact"/>
        <w:rPr>
          <w:rFonts w:ascii="宋体" w:hAnsi="宋体"/>
          <w:bCs/>
          <w:szCs w:val="28"/>
        </w:rPr>
      </w:pPr>
      <w:r>
        <w:rPr>
          <w:rFonts w:hint="eastAsia" w:ascii="宋体" w:hAnsi="宋体"/>
          <w:bCs/>
          <w:szCs w:val="28"/>
        </w:rPr>
        <w:t>人员和财产转移、安置的责任部门和责任人</w:t>
      </w:r>
    </w:p>
    <w:p>
      <w:pPr>
        <w:ind w:firstLine="480"/>
      </w:pPr>
      <w:r>
        <w:rPr>
          <w:rFonts w:hint="eastAsia"/>
        </w:rPr>
        <w:t>当东道水库发生险情时，人员和财产的转移、安置责任部门是:王村镇政府各职能部门、镇卫生院、东道村委、郭家村委等，其责任人是上述有关单位的行政一把手。</w:t>
      </w:r>
    </w:p>
    <w:p>
      <w:pPr>
        <w:pStyle w:val="4"/>
        <w:spacing w:before="165" w:after="165" w:line="560" w:lineRule="exact"/>
        <w:rPr>
          <w:rFonts w:ascii="宋体" w:hAnsi="宋体"/>
          <w:bCs/>
          <w:szCs w:val="28"/>
        </w:rPr>
      </w:pPr>
      <w:r>
        <w:rPr>
          <w:rFonts w:hint="eastAsia" w:ascii="宋体" w:hAnsi="宋体"/>
          <w:bCs/>
          <w:szCs w:val="28"/>
        </w:rPr>
        <w:t>人员和财产转移警戒措施</w:t>
      </w:r>
    </w:p>
    <w:p>
      <w:pPr>
        <w:ind w:firstLine="480"/>
      </w:pPr>
      <w:r>
        <w:rPr>
          <w:rFonts w:hint="eastAsia"/>
        </w:rPr>
        <w:t>当东道水库发生险情时。危险区域的人员和财产转移后的警戒部门是镇安办、执法队等。其主要任务是:防止撤离人员的回流；阻止过路人员误入危险区；打击扰乱撤离工作的破坏活动；保卫撤离区财产的安全。</w:t>
      </w:r>
    </w:p>
    <w:p>
      <w:pPr>
        <w:ind w:firstLine="480"/>
      </w:pPr>
    </w:p>
    <w:p>
      <w:pPr>
        <w:pStyle w:val="2"/>
        <w:spacing w:before="165" w:after="165"/>
      </w:pPr>
      <w:bookmarkStart w:id="35" w:name="_Toc518843427"/>
      <w:r>
        <w:rPr>
          <w:rFonts w:hint="eastAsia"/>
        </w:rPr>
        <w:t>应急保障</w:t>
      </w:r>
      <w:bookmarkEnd w:id="35"/>
    </w:p>
    <w:p>
      <w:pPr>
        <w:pStyle w:val="3"/>
        <w:spacing w:before="165" w:after="165"/>
      </w:pPr>
      <w:bookmarkStart w:id="36" w:name="_Toc518843428"/>
      <w:r>
        <w:rPr>
          <w:rFonts w:hint="eastAsia"/>
        </w:rPr>
        <w:t>组织保障</w:t>
      </w:r>
      <w:bookmarkEnd w:id="36"/>
    </w:p>
    <w:p>
      <w:pPr>
        <w:ind w:firstLine="480"/>
      </w:pPr>
      <w:r>
        <w:rPr>
          <w:rFonts w:hint="eastAsia"/>
        </w:rPr>
        <w:t>成立水库防洪抢险应急指挥部 (组)，明确成员单位及职责分工。</w:t>
      </w:r>
    </w:p>
    <w:p>
      <w:pPr>
        <w:ind w:firstLine="480"/>
      </w:pPr>
      <w:r>
        <w:rPr>
          <w:rFonts w:hint="eastAsia"/>
        </w:rPr>
        <w:t>防洪抢险应急实行统一指挥，分级分部门负责。区防汛工作领导小组负责水库的防洪抢险应急工作的组织、协调、监督和指挥。</w:t>
      </w:r>
    </w:p>
    <w:p>
      <w:pPr>
        <w:pStyle w:val="3"/>
        <w:spacing w:before="165" w:after="165"/>
      </w:pPr>
      <w:bookmarkStart w:id="37" w:name="_Toc518843429"/>
      <w:r>
        <w:rPr>
          <w:rFonts w:hint="eastAsia"/>
        </w:rPr>
        <w:t>队伍保障</w:t>
      </w:r>
      <w:bookmarkEnd w:id="37"/>
    </w:p>
    <w:p>
      <w:pPr>
        <w:ind w:firstLine="480"/>
      </w:pPr>
      <w:r>
        <w:rPr>
          <w:rFonts w:hint="eastAsia"/>
        </w:rPr>
        <w:t>在防洪应急抢险时建立专业抢险应急小分队。各级人员在灾害来临时，应服从防汛领导小组的统一指挥，在保证安全前提下，有条不紊地进行抢险、抢修和救护工作。各小分队成员在防洪抢险或应急处理时的任务由各小分队长临时指派。抢险队伍名单附后</w:t>
      </w:r>
    </w:p>
    <w:p>
      <w:pPr>
        <w:ind w:firstLine="480"/>
      </w:pPr>
      <w:r>
        <w:rPr>
          <w:rFonts w:hint="eastAsia"/>
        </w:rPr>
        <w:t>如果险情重大，则应向市防洪指挥部提出要求，增派其他抢险队伍或人民解放军支援。</w:t>
      </w:r>
    </w:p>
    <w:p>
      <w:pPr>
        <w:pStyle w:val="3"/>
        <w:spacing w:before="165" w:after="165"/>
      </w:pPr>
      <w:bookmarkStart w:id="38" w:name="_Toc518843430"/>
      <w:r>
        <w:rPr>
          <w:rFonts w:hint="eastAsia"/>
        </w:rPr>
        <w:t>物资保障</w:t>
      </w:r>
      <w:bookmarkEnd w:id="38"/>
    </w:p>
    <w:p>
      <w:pPr>
        <w:ind w:firstLine="480"/>
      </w:pPr>
      <w:r>
        <w:rPr>
          <w:rFonts w:hint="eastAsia"/>
        </w:rPr>
        <w:t>水库管理处专门建立防汛抢险物资仓库，配备必需的器材，落实专人保管，建立台账，做好物资的动态管理，随时掌握物资储备情况，包括品种、数量、质量，按类别整齐分列，并贴上标签，注明名称、数量等。</w:t>
      </w:r>
    </w:p>
    <w:p>
      <w:pPr>
        <w:pStyle w:val="3"/>
        <w:spacing w:before="165" w:after="165"/>
      </w:pPr>
      <w:bookmarkStart w:id="39" w:name="_Toc518843431"/>
      <w:r>
        <w:rPr>
          <w:rFonts w:hint="eastAsia"/>
        </w:rPr>
        <w:t>通讯保障</w:t>
      </w:r>
      <w:bookmarkEnd w:id="39"/>
    </w:p>
    <w:p>
      <w:pPr>
        <w:ind w:firstLine="480"/>
      </w:pPr>
      <w:r>
        <w:rPr>
          <w:rFonts w:hint="eastAsia"/>
        </w:rPr>
        <w:t>1、水情应急传递方式</w:t>
      </w:r>
    </w:p>
    <w:p>
      <w:pPr>
        <w:ind w:firstLine="480"/>
      </w:pPr>
      <w:r>
        <w:rPr>
          <w:rFonts w:hint="eastAsia"/>
        </w:rPr>
        <w:t>目前水库具有固定电话、无线通讯、计算机信息网络等多套通讯报汛通道，确保通讯正常。所以水情应急传递也以当前的通讯方式为主。</w:t>
      </w:r>
    </w:p>
    <w:p>
      <w:pPr>
        <w:ind w:firstLine="480"/>
      </w:pPr>
      <w:r>
        <w:rPr>
          <w:rFonts w:hint="eastAsia"/>
        </w:rPr>
        <w:t>当出现通讯故障，应由通讯部门迅速调集力量抢修损坏的通讯设施，努力保证通信畅通，为防汛通信和现场指挥提供保障。</w:t>
      </w:r>
    </w:p>
    <w:p>
      <w:pPr>
        <w:ind w:firstLine="480"/>
      </w:pPr>
      <w:r>
        <w:rPr>
          <w:rFonts w:hint="eastAsia"/>
        </w:rPr>
        <w:t>2、抢险指挥通讯抢险通讯以固定电话、移动电话、内部局域网、计算机网络等通讯手段进行通讯联络和指挥发布。同时配备必要的配件以备急需。</w:t>
      </w:r>
    </w:p>
    <w:p>
      <w:pPr>
        <w:ind w:firstLine="480"/>
      </w:pPr>
      <w:r>
        <w:rPr>
          <w:rFonts w:hint="eastAsia"/>
        </w:rPr>
        <w:t>具体联络方式见附件。</w:t>
      </w:r>
    </w:p>
    <w:p>
      <w:pPr>
        <w:ind w:firstLine="480"/>
      </w:pPr>
      <w:r>
        <w:rPr>
          <w:rFonts w:hint="eastAsia"/>
        </w:rPr>
        <w:t>3、应急状态下通讯人员值班制度</w:t>
      </w:r>
    </w:p>
    <w:p>
      <w:pPr>
        <w:ind w:firstLine="480"/>
      </w:pPr>
      <w:r>
        <w:rPr>
          <w:rFonts w:hint="eastAsia"/>
        </w:rPr>
        <w:t>（1）坚持 24 小时值班，认真做好值班记录。</w:t>
      </w:r>
    </w:p>
    <w:p>
      <w:pPr>
        <w:ind w:firstLine="480"/>
      </w:pPr>
      <w:r>
        <w:rPr>
          <w:rFonts w:hint="eastAsia"/>
        </w:rPr>
        <w:t>（2）做好信息的传达和上报，做到上情下达，下情上达。</w:t>
      </w:r>
    </w:p>
    <w:p>
      <w:pPr>
        <w:ind w:firstLine="480"/>
      </w:pPr>
      <w:r>
        <w:rPr>
          <w:rFonts w:hint="eastAsia"/>
        </w:rPr>
        <w:t>（3）做好通讯设施的监测检查检修工作，确保系统正常运行。</w:t>
      </w:r>
    </w:p>
    <w:p>
      <w:pPr>
        <w:ind w:firstLine="480"/>
      </w:pPr>
      <w:r>
        <w:rPr>
          <w:rFonts w:hint="eastAsia"/>
        </w:rPr>
        <w:t>（4）当出现通讯故障，应迅速调集力量抢修损坏的通信设施。</w:t>
      </w:r>
    </w:p>
    <w:p>
      <w:pPr>
        <w:ind w:firstLine="480"/>
      </w:pPr>
      <w:r>
        <w:rPr>
          <w:rFonts w:hint="eastAsia"/>
        </w:rPr>
        <w:t>（5）当出现意外情况或不明情况时，应立即向防洪领导小组呈报。</w:t>
      </w:r>
    </w:p>
    <w:p>
      <w:pPr>
        <w:pStyle w:val="3"/>
        <w:spacing w:before="165" w:after="165"/>
      </w:pPr>
      <w:bookmarkStart w:id="40" w:name="_Toc518843432"/>
      <w:r>
        <w:rPr>
          <w:rFonts w:hint="eastAsia"/>
        </w:rPr>
        <w:t>其它保障</w:t>
      </w:r>
      <w:bookmarkEnd w:id="40"/>
    </w:p>
    <w:p>
      <w:pPr>
        <w:ind w:firstLine="480"/>
      </w:pPr>
      <w:r>
        <w:rPr>
          <w:rFonts w:hint="eastAsia"/>
        </w:rPr>
        <w:t>1、救灾物资的储备、调拨和供应计划：如发生大洪水，则在洪水到来前现根据需要统一采购储备。大批量的救灾物资，由县防汛领导小组统一调拨。</w:t>
      </w:r>
    </w:p>
    <w:p>
      <w:pPr>
        <w:ind w:firstLine="480"/>
      </w:pPr>
      <w:r>
        <w:rPr>
          <w:rFonts w:hint="eastAsia"/>
        </w:rPr>
        <w:t>2、资金保障</w:t>
      </w:r>
    </w:p>
    <w:p>
      <w:pPr>
        <w:ind w:firstLine="480"/>
      </w:pPr>
      <w:r>
        <w:rPr>
          <w:rFonts w:hint="eastAsia"/>
        </w:rPr>
        <w:t>财政局根据汛前检查情况，对需要加固的工程进行拨款，灾后根据灾害程度、水毁工程情况，安排资金，用于遭受严重灾害的防汛设施修复补助。</w:t>
      </w:r>
    </w:p>
    <w:p>
      <w:pPr>
        <w:ind w:firstLine="480"/>
      </w:pPr>
      <w:r>
        <w:rPr>
          <w:rFonts w:hint="eastAsia"/>
        </w:rPr>
        <w:t>3、卫生防疫</w:t>
      </w:r>
    </w:p>
    <w:p>
      <w:pPr>
        <w:ind w:firstLine="480"/>
      </w:pPr>
      <w:r>
        <w:rPr>
          <w:rFonts w:hint="eastAsia"/>
        </w:rPr>
        <w:t>本管理处并未配备专职的医务人员。在救灾时卫生防疫工作由县防洪领导小组统一部署，由专职的卫生防疫工作人员进水库进行指导帮助，我处主要做好配合协调工作。</w:t>
      </w:r>
    </w:p>
    <w:p>
      <w:pPr>
        <w:ind w:firstLine="480"/>
      </w:pPr>
      <w:r>
        <w:rPr>
          <w:rFonts w:hint="eastAsia"/>
        </w:rPr>
        <w:t>4、生活救助</w:t>
      </w:r>
    </w:p>
    <w:p>
      <w:pPr>
        <w:ind w:firstLine="480"/>
      </w:pPr>
      <w:r>
        <w:rPr>
          <w:rFonts w:hint="eastAsia"/>
        </w:rPr>
        <w:t>民政部门负责受灾群众的生活救助，及时调配救灾款物，组织安置受灾群众，作好受灾群众临时生活安排，负责受灾群众倒塌房屋的恢复重建，保证灾民有粮吃、有衣穿、有房住，切实解决受灾群众的基本生活问题。</w:t>
      </w:r>
    </w:p>
    <w:p>
      <w:pPr>
        <w:ind w:firstLine="480"/>
      </w:pPr>
      <w:r>
        <w:rPr>
          <w:rFonts w:hint="eastAsia"/>
        </w:rPr>
        <w:t>5、安全保卫</w:t>
      </w:r>
    </w:p>
    <w:p>
      <w:pPr>
        <w:ind w:firstLine="480"/>
      </w:pPr>
      <w:r>
        <w:rPr>
          <w:rFonts w:hint="eastAsia"/>
        </w:rPr>
        <w:t>公安局负责维护抢险工地及区域的治安保卫工作，保障抢险队伍的交通畅通无阻。</w:t>
      </w:r>
    </w:p>
    <w:p>
      <w:pPr>
        <w:ind w:firstLine="480"/>
      </w:pPr>
      <w:r>
        <w:rPr>
          <w:rFonts w:hint="eastAsia"/>
        </w:rPr>
        <w:t>6、宣传报告</w:t>
      </w:r>
    </w:p>
    <w:p>
      <w:pPr>
        <w:ind w:firstLine="480"/>
      </w:pPr>
      <w:r>
        <w:rPr>
          <w:rFonts w:hint="eastAsia"/>
        </w:rPr>
        <w:t>汛期要通过电视台、黑板报、宣传栏、水库信息网等内外宣传和报送水库防汛抗旱动态、</w:t>
      </w:r>
      <w:bookmarkStart w:id="50" w:name="_GoBack"/>
      <w:bookmarkEnd w:id="50"/>
      <w:r>
        <w:rPr>
          <w:rFonts w:hint="eastAsia"/>
          <w:lang w:eastAsia="zh-CN"/>
        </w:rPr>
        <w:t>工作部署</w:t>
      </w:r>
      <w:r>
        <w:rPr>
          <w:rFonts w:hint="eastAsia"/>
        </w:rPr>
        <w:t>和落实等信息。在防洪应急时，按照上级防洪指挥部门的统一部署，重点做好水库水雨情信息、洪水预报结果、调度运行计划、抢险应急主要措施、工作落实动态等进行宣传报告。</w:t>
      </w:r>
    </w:p>
    <w:p>
      <w:pPr>
        <w:ind w:firstLine="0" w:firstLineChars="0"/>
      </w:pPr>
    </w:p>
    <w:p>
      <w:pPr>
        <w:pStyle w:val="2"/>
        <w:spacing w:before="165" w:after="165"/>
      </w:pPr>
      <w:bookmarkStart w:id="41" w:name="_Toc518843433"/>
      <w:r>
        <w:rPr>
          <w:rFonts w:hint="eastAsia"/>
        </w:rPr>
        <w:t>《应急预案》启动与结束</w:t>
      </w:r>
      <w:bookmarkEnd w:id="41"/>
    </w:p>
    <w:p>
      <w:pPr>
        <w:pStyle w:val="3"/>
        <w:spacing w:before="165" w:after="165"/>
      </w:pPr>
      <w:bookmarkStart w:id="42" w:name="_Toc518843434"/>
      <w:r>
        <w:rPr>
          <w:rFonts w:hint="eastAsia"/>
        </w:rPr>
        <w:t>启动与结束条件</w:t>
      </w:r>
      <w:bookmarkEnd w:id="42"/>
    </w:p>
    <w:p>
      <w:pPr>
        <w:pStyle w:val="4"/>
        <w:spacing w:before="165" w:after="165" w:line="560" w:lineRule="exact"/>
        <w:rPr>
          <w:rFonts w:ascii="宋体" w:hAnsi="宋体"/>
          <w:bCs/>
          <w:szCs w:val="28"/>
        </w:rPr>
      </w:pPr>
      <w:bookmarkStart w:id="43" w:name="_Toc201720714"/>
      <w:r>
        <w:rPr>
          <w:rFonts w:hint="eastAsia" w:ascii="宋体" w:hAnsi="宋体"/>
          <w:bCs/>
          <w:szCs w:val="28"/>
        </w:rPr>
        <w:t>启动条件</w:t>
      </w:r>
      <w:bookmarkEnd w:id="43"/>
    </w:p>
    <w:p>
      <w:pPr>
        <w:ind w:firstLine="480"/>
      </w:pPr>
      <w:r>
        <w:rPr>
          <w:rFonts w:hint="eastAsia"/>
        </w:rPr>
        <w:t>当水库发生表3.1-1《险情的种类以及发生的部位和等级表》中所列险情种类及等级，的险情时，启动相应级别的抢险调度方案。</w:t>
      </w:r>
    </w:p>
    <w:p>
      <w:pPr>
        <w:pStyle w:val="4"/>
        <w:spacing w:before="165" w:after="165" w:line="560" w:lineRule="exact"/>
        <w:rPr>
          <w:rFonts w:ascii="宋体" w:hAnsi="宋体"/>
          <w:bCs/>
          <w:szCs w:val="28"/>
        </w:rPr>
      </w:pPr>
      <w:bookmarkStart w:id="44" w:name="_Toc201720715"/>
      <w:r>
        <w:rPr>
          <w:rFonts w:hint="eastAsia" w:ascii="宋体" w:hAnsi="宋体"/>
          <w:bCs/>
          <w:szCs w:val="28"/>
        </w:rPr>
        <w:t>结束条件</w:t>
      </w:r>
      <w:bookmarkEnd w:id="44"/>
    </w:p>
    <w:p>
      <w:pPr>
        <w:ind w:firstLine="480"/>
      </w:pPr>
      <w:r>
        <w:rPr>
          <w:rFonts w:hint="eastAsia"/>
        </w:rPr>
        <w:t>水库险情已经得到有效控制或排除时。</w:t>
      </w:r>
    </w:p>
    <w:p>
      <w:pPr>
        <w:pStyle w:val="3"/>
        <w:spacing w:before="165" w:after="165"/>
      </w:pPr>
      <w:bookmarkStart w:id="45" w:name="_Toc518843435"/>
      <w:r>
        <w:rPr>
          <w:rFonts w:hint="eastAsia"/>
        </w:rPr>
        <w:t>决策机构与程序</w:t>
      </w:r>
      <w:bookmarkEnd w:id="45"/>
    </w:p>
    <w:p>
      <w:pPr>
        <w:pStyle w:val="4"/>
        <w:spacing w:before="165" w:after="165" w:line="560" w:lineRule="exact"/>
        <w:rPr>
          <w:rFonts w:ascii="宋体" w:hAnsi="宋体"/>
          <w:bCs/>
          <w:szCs w:val="28"/>
        </w:rPr>
      </w:pPr>
      <w:r>
        <w:rPr>
          <w:rFonts w:hint="eastAsia" w:ascii="宋体" w:hAnsi="宋体"/>
          <w:bCs/>
          <w:szCs w:val="28"/>
        </w:rPr>
        <w:t>启动和结束本《应急预案》的决策机构是：王村镇政府</w:t>
      </w:r>
    </w:p>
    <w:p>
      <w:pPr>
        <w:pStyle w:val="4"/>
        <w:spacing w:before="165" w:after="165" w:line="560" w:lineRule="exact"/>
        <w:rPr>
          <w:rFonts w:ascii="宋体" w:hAnsi="宋体"/>
          <w:bCs/>
          <w:szCs w:val="28"/>
        </w:rPr>
      </w:pPr>
      <w:bookmarkStart w:id="46" w:name="_Toc201720718"/>
      <w:r>
        <w:rPr>
          <w:rFonts w:hint="eastAsia" w:ascii="宋体" w:hAnsi="宋体"/>
          <w:bCs/>
          <w:szCs w:val="28"/>
        </w:rPr>
        <w:t>启动和结束本《应急预案》程序</w:t>
      </w:r>
      <w:bookmarkEnd w:id="46"/>
    </w:p>
    <w:p>
      <w:pPr>
        <w:ind w:firstLine="480"/>
      </w:pPr>
      <w:r>
        <w:rPr>
          <w:rFonts w:hint="eastAsia"/>
        </w:rPr>
        <w:t>1、启动程序</w:t>
      </w:r>
    </w:p>
    <w:p>
      <w:pPr>
        <w:ind w:firstLine="480"/>
      </w:pPr>
      <w:r>
        <w:rPr>
          <w:rFonts w:hint="eastAsia"/>
        </w:rPr>
        <w:t>进入汛期，水库管理单位实行24小时值班制度，全程跟踪雨情、水情、工情，在发现水库将发生或已经发生险情时，水库管理单位立即向王村镇农工办及王村镇防指报告，王村镇防指派出防汛抢险专家组进行核实，并确定险情等级，提出核实报告。王村镇防指根据核实报告向区人民政府提出启动《应急预案》请示报告，根据不同情况由区人民政府区长批准启动《应急预案》相关应急程序。</w:t>
      </w:r>
    </w:p>
    <w:p>
      <w:pPr>
        <w:ind w:firstLine="480"/>
      </w:pPr>
      <w:r>
        <w:rPr>
          <w:rFonts w:hint="eastAsia"/>
        </w:rPr>
        <w:t>2、结束程序</w:t>
      </w:r>
    </w:p>
    <w:p>
      <w:pPr>
        <w:ind w:firstLine="480"/>
      </w:pPr>
      <w:r>
        <w:rPr>
          <w:rFonts w:hint="eastAsia"/>
        </w:rPr>
        <w:t>当水库的重大险情或危险区内的险情已经得到有效控制或排除时，由王村镇防汛抢险专家组现场核实后报王村镇防指，王村镇防指根据核实报告向王村镇管委会提出结束《应急预案》请示报告，经王村镇管委会主任批准后结束《应急预案》。</w:t>
      </w:r>
    </w:p>
    <w:p>
      <w:pPr>
        <w:ind w:firstLine="480"/>
      </w:pPr>
    </w:p>
    <w:p>
      <w:pPr>
        <w:pStyle w:val="2"/>
        <w:spacing w:before="165" w:after="165"/>
      </w:pPr>
      <w:bookmarkStart w:id="47" w:name="_Toc518843436"/>
      <w:r>
        <w:rPr>
          <w:rFonts w:hint="eastAsia"/>
        </w:rPr>
        <w:t>附件</w:t>
      </w:r>
      <w:bookmarkEnd w:id="47"/>
    </w:p>
    <w:p>
      <w:pPr>
        <w:pStyle w:val="3"/>
        <w:spacing w:before="165" w:after="165"/>
      </w:pPr>
      <w:bookmarkStart w:id="48" w:name="_Toc518843437"/>
      <w:r>
        <w:rPr>
          <w:rFonts w:hint="eastAsia"/>
        </w:rPr>
        <w:t>附表</w:t>
      </w:r>
      <w:bookmarkEnd w:id="48"/>
    </w:p>
    <w:p>
      <w:pPr>
        <w:pStyle w:val="38"/>
        <w:numPr>
          <w:ilvl w:val="0"/>
          <w:numId w:val="2"/>
        </w:numPr>
        <w:spacing w:line="560" w:lineRule="exact"/>
        <w:ind w:firstLineChars="0"/>
      </w:pPr>
      <w:r>
        <w:rPr>
          <w:rFonts w:hint="eastAsia"/>
        </w:rPr>
        <w:t>水库工程技术特性表；</w:t>
      </w:r>
    </w:p>
    <w:p>
      <w:pPr>
        <w:pStyle w:val="38"/>
        <w:numPr>
          <w:ilvl w:val="0"/>
          <w:numId w:val="2"/>
        </w:numPr>
        <w:spacing w:line="560" w:lineRule="exact"/>
        <w:ind w:firstLineChars="0"/>
      </w:pPr>
      <w:r>
        <w:rPr>
          <w:rFonts w:hint="eastAsia"/>
        </w:rPr>
        <w:t>水库安全度汛责任人。</w:t>
      </w:r>
    </w:p>
    <w:p>
      <w:pPr>
        <w:pStyle w:val="3"/>
        <w:spacing w:before="165" w:after="165"/>
      </w:pPr>
      <w:bookmarkStart w:id="49" w:name="_Toc518843438"/>
      <w:r>
        <w:rPr>
          <w:rFonts w:hint="eastAsia"/>
        </w:rPr>
        <w:t>附图</w:t>
      </w:r>
      <w:bookmarkEnd w:id="49"/>
    </w:p>
    <w:p>
      <w:pPr>
        <w:spacing w:line="560" w:lineRule="exact"/>
        <w:ind w:firstLine="480"/>
      </w:pPr>
      <w:r>
        <w:t>1</w:t>
      </w:r>
      <w:r>
        <w:rPr>
          <w:rFonts w:hint="eastAsia"/>
        </w:rPr>
        <w:t>、水库水位～库容～面积～泄量关系曲线图；</w:t>
      </w:r>
    </w:p>
    <w:p>
      <w:pPr>
        <w:spacing w:line="560" w:lineRule="exact"/>
        <w:ind w:firstLine="480"/>
      </w:pPr>
      <w:r>
        <w:rPr>
          <w:rFonts w:hint="eastAsia"/>
        </w:rPr>
        <w:t>2、水库枢纽平面布置图；</w:t>
      </w:r>
    </w:p>
    <w:p>
      <w:pPr>
        <w:ind w:firstLine="0" w:firstLineChars="0"/>
      </w:pPr>
    </w:p>
    <w:p>
      <w:pPr>
        <w:ind w:firstLine="0" w:firstLineChars="0"/>
      </w:pPr>
    </w:p>
    <w:p>
      <w:pPr>
        <w:ind w:firstLine="0" w:firstLineChars="0"/>
      </w:pPr>
    </w:p>
    <w:p>
      <w:pPr>
        <w:pStyle w:val="12"/>
        <w:pageBreakBefore/>
      </w:pPr>
    </w:p>
    <w:p>
      <w:pPr>
        <w:pStyle w:val="12"/>
      </w:pPr>
      <w:r>
        <w:rPr>
          <w:rFonts w:hint="eastAsia"/>
        </w:rPr>
        <w:t>表</w:t>
      </w:r>
      <w:r>
        <w:fldChar w:fldCharType="begin"/>
      </w:r>
      <w:r>
        <w:rPr>
          <w:rFonts w:hint="eastAsia"/>
        </w:rPr>
        <w:instrText xml:space="preserve">STYLEREF 2 \s</w:instrText>
      </w:r>
      <w:r>
        <w:fldChar w:fldCharType="separate"/>
      </w:r>
      <w:r>
        <w:t>8.2</w:t>
      </w:r>
      <w:r>
        <w:fldChar w:fldCharType="end"/>
      </w:r>
      <w:r>
        <w:noBreakHyphen/>
      </w:r>
      <w:r>
        <w:fldChar w:fldCharType="begin"/>
      </w:r>
      <w:r>
        <w:rPr>
          <w:rFonts w:hint="eastAsia"/>
        </w:rPr>
        <w:instrText xml:space="preserve">SEQ 表 \* ARABIC \s 2</w:instrText>
      </w:r>
      <w:r>
        <w:fldChar w:fldCharType="separate"/>
      </w:r>
      <w:r>
        <w:t>1</w:t>
      </w:r>
      <w:r>
        <w:fldChar w:fldCharType="end"/>
      </w:r>
      <w:r>
        <w:rPr>
          <w:rFonts w:hint="eastAsia"/>
        </w:rPr>
        <w:t>水库工程技术特性表</w:t>
      </w:r>
    </w:p>
    <w:tbl>
      <w:tblPr>
        <w:tblStyle w:val="24"/>
        <w:tblW w:w="8380" w:type="dxa"/>
        <w:jc w:val="center"/>
        <w:tblLayout w:type="autofit"/>
        <w:tblCellMar>
          <w:top w:w="0" w:type="dxa"/>
          <w:left w:w="108" w:type="dxa"/>
          <w:bottom w:w="0" w:type="dxa"/>
          <w:right w:w="108" w:type="dxa"/>
        </w:tblCellMar>
      </w:tblPr>
      <w:tblGrid>
        <w:gridCol w:w="396"/>
        <w:gridCol w:w="2187"/>
        <w:gridCol w:w="1694"/>
        <w:gridCol w:w="579"/>
        <w:gridCol w:w="1752"/>
        <w:gridCol w:w="1772"/>
      </w:tblGrid>
      <w:tr>
        <w:tblPrEx>
          <w:tblCellMar>
            <w:top w:w="0" w:type="dxa"/>
            <w:left w:w="108" w:type="dxa"/>
            <w:bottom w:w="0" w:type="dxa"/>
            <w:right w:w="108" w:type="dxa"/>
          </w:tblCellMar>
        </w:tblPrEx>
        <w:trPr>
          <w:trHeight w:val="285" w:hRule="atLeast"/>
          <w:jc w:val="center"/>
        </w:trPr>
        <w:tc>
          <w:tcPr>
            <w:tcW w:w="258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360" w:firstLineChars="0"/>
              <w:jc w:val="center"/>
              <w:rPr>
                <w:kern w:val="0"/>
                <w:sz w:val="18"/>
                <w:szCs w:val="18"/>
              </w:rPr>
            </w:pPr>
            <w:r>
              <w:rPr>
                <w:kern w:val="0"/>
                <w:sz w:val="18"/>
                <w:szCs w:val="18"/>
              </w:rPr>
              <w:t>水库名称</w:t>
            </w:r>
          </w:p>
        </w:tc>
        <w:tc>
          <w:tcPr>
            <w:tcW w:w="1694" w:type="dxa"/>
            <w:tcBorders>
              <w:top w:val="single" w:color="auto"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东道水库</w:t>
            </w:r>
          </w:p>
        </w:tc>
        <w:tc>
          <w:tcPr>
            <w:tcW w:w="579"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主坝</w:t>
            </w:r>
          </w:p>
        </w:tc>
        <w:tc>
          <w:tcPr>
            <w:tcW w:w="1752" w:type="dxa"/>
            <w:tcBorders>
              <w:top w:val="single" w:color="auto"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坝型</w:t>
            </w:r>
          </w:p>
        </w:tc>
        <w:tc>
          <w:tcPr>
            <w:tcW w:w="1772" w:type="dxa"/>
            <w:tcBorders>
              <w:top w:val="single" w:color="auto" w:sz="8" w:space="0"/>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均质壤土坝</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建设地点</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东道村</w:t>
            </w:r>
            <w:r>
              <w:rPr>
                <w:rFonts w:hint="eastAsia"/>
                <w:kern w:val="0"/>
                <w:sz w:val="18"/>
                <w:szCs w:val="18"/>
              </w:rPr>
              <w:t>东</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97.0</w:t>
            </w: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所在河流</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范阳</w:t>
            </w:r>
            <w:r>
              <w:rPr>
                <w:kern w:val="0"/>
                <w:sz w:val="18"/>
                <w:szCs w:val="18"/>
              </w:rPr>
              <w:t>河</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最大坝高(m)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8.44</w:t>
            </w: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流域面积(km</w:t>
            </w:r>
            <w:r>
              <w:rPr>
                <w:kern w:val="0"/>
                <w:sz w:val="18"/>
                <w:szCs w:val="18"/>
                <w:vertAlign w:val="superscript"/>
              </w:rPr>
              <w:t>2</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4.2</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坝顶长度(m)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206.5</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管理单位名称</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王村镇政府</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坝顶宽度(m)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主管单位名称</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周村区水务局</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坝基地质(m)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竣工日期</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19</w:t>
            </w:r>
            <w:r>
              <w:rPr>
                <w:rFonts w:hint="eastAsia"/>
                <w:kern w:val="0"/>
                <w:sz w:val="18"/>
                <w:szCs w:val="18"/>
              </w:rPr>
              <w:t>67</w:t>
            </w:r>
            <w:r>
              <w:rPr>
                <w:kern w:val="0"/>
                <w:sz w:val="18"/>
                <w:szCs w:val="18"/>
              </w:rPr>
              <w:t>年</w:t>
            </w:r>
          </w:p>
        </w:tc>
        <w:tc>
          <w:tcPr>
            <w:tcW w:w="579" w:type="dxa"/>
            <w:vMerge w:val="continue"/>
            <w:tcBorders>
              <w:top w:val="single" w:color="auto"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坝基防渗措施(m)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工程等别</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小(</w:t>
            </w:r>
            <w:r>
              <w:rPr>
                <w:rFonts w:hint="eastAsia"/>
                <w:kern w:val="0"/>
                <w:sz w:val="18"/>
                <w:szCs w:val="18"/>
              </w:rPr>
              <w:t>2</w:t>
            </w:r>
            <w:r>
              <w:rPr>
                <w:kern w:val="0"/>
                <w:sz w:val="18"/>
                <w:szCs w:val="18"/>
              </w:rPr>
              <w:t>)型</w:t>
            </w:r>
          </w:p>
        </w:tc>
        <w:tc>
          <w:tcPr>
            <w:tcW w:w="579" w:type="dxa"/>
            <w:vMerge w:val="continue"/>
            <w:tcBorders>
              <w:top w:val="single" w:color="auto" w:sz="8" w:space="0"/>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防浪墙顶高程(m)</w:t>
            </w:r>
          </w:p>
        </w:tc>
        <w:tc>
          <w:tcPr>
            <w:tcW w:w="1772"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地震基本烈度/抗震设计烈度</w:t>
            </w:r>
          </w:p>
        </w:tc>
        <w:tc>
          <w:tcPr>
            <w:tcW w:w="1694"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Ⅶ</w:t>
            </w:r>
          </w:p>
        </w:tc>
        <w:tc>
          <w:tcPr>
            <w:tcW w:w="579"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副坝</w:t>
            </w:r>
          </w:p>
        </w:tc>
        <w:tc>
          <w:tcPr>
            <w:tcW w:w="1752"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坝型(m)</w:t>
            </w:r>
          </w:p>
        </w:tc>
        <w:tc>
          <w:tcPr>
            <w:tcW w:w="1772" w:type="dxa"/>
            <w:tcBorders>
              <w:top w:val="single" w:color="auto" w:sz="4" w:space="0"/>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blPrEx>
          <w:tblCellMar>
            <w:top w:w="0" w:type="dxa"/>
            <w:left w:w="108" w:type="dxa"/>
            <w:bottom w:w="0" w:type="dxa"/>
            <w:right w:w="108" w:type="dxa"/>
          </w:tblCellMar>
        </w:tblPrEx>
        <w:trPr>
          <w:trHeight w:val="285" w:hRule="atLeast"/>
          <w:jc w:val="center"/>
        </w:trPr>
        <w:tc>
          <w:tcPr>
            <w:tcW w:w="2583" w:type="dxa"/>
            <w:gridSpan w:val="2"/>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多年平均降水量</w:t>
            </w:r>
          </w:p>
        </w:tc>
        <w:tc>
          <w:tcPr>
            <w:tcW w:w="1694"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645.5</w:t>
            </w:r>
            <w:r>
              <w:rPr>
                <w:kern w:val="0"/>
                <w:sz w:val="18"/>
                <w:szCs w:val="18"/>
              </w:rPr>
              <w:t>mm</w:t>
            </w:r>
          </w:p>
        </w:tc>
        <w:tc>
          <w:tcPr>
            <w:tcW w:w="579"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坝顶高程(m)</w:t>
            </w:r>
          </w:p>
        </w:tc>
        <w:tc>
          <w:tcPr>
            <w:tcW w:w="1772" w:type="dxa"/>
            <w:tcBorders>
              <w:top w:val="single" w:color="000000" w:sz="8" w:space="0"/>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rPr>
          <w:trHeight w:val="285" w:hRule="atLeast"/>
          <w:jc w:val="center"/>
        </w:trPr>
        <w:tc>
          <w:tcPr>
            <w:tcW w:w="396"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设计</w:t>
            </w: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洪水标准(%)</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5</w:t>
            </w:r>
            <w:r>
              <w:rPr>
                <w:kern w:val="0"/>
                <w:sz w:val="18"/>
                <w:szCs w:val="18"/>
              </w:rPr>
              <w:t>%</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坝顶长度(m)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洪峰流量(m</w:t>
            </w:r>
            <w:r>
              <w:rPr>
                <w:kern w:val="0"/>
                <w:sz w:val="18"/>
                <w:szCs w:val="18"/>
                <w:vertAlign w:val="superscript"/>
              </w:rPr>
              <w:t>3</w:t>
            </w:r>
            <w:r>
              <w:rPr>
                <w:kern w:val="0"/>
                <w:sz w:val="18"/>
                <w:szCs w:val="18"/>
              </w:rPr>
              <w:t>/s)</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36.2</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坝顶宽度(m)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3日洪量(m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正常溢洪道</w:t>
            </w: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矩形开敞式（无闸）</w:t>
            </w:r>
          </w:p>
        </w:tc>
      </w:tr>
      <w:tr>
        <w:tblPrEx>
          <w:tblCellMar>
            <w:top w:w="0" w:type="dxa"/>
            <w:left w:w="108" w:type="dxa"/>
            <w:bottom w:w="0" w:type="dxa"/>
            <w:right w:w="108" w:type="dxa"/>
          </w:tblCellMar>
        </w:tblPrEx>
        <w:trPr>
          <w:trHeight w:val="285" w:hRule="atLeast"/>
          <w:jc w:val="center"/>
        </w:trPr>
        <w:tc>
          <w:tcPr>
            <w:tcW w:w="396"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校核</w:t>
            </w: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洪水标准(%)</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0.5</w:t>
            </w:r>
            <w:r>
              <w:rPr>
                <w:kern w:val="0"/>
                <w:sz w:val="18"/>
                <w:szCs w:val="18"/>
              </w:rPr>
              <w:t>%</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洪峰流量(m</w:t>
            </w:r>
            <w:r>
              <w:rPr>
                <w:kern w:val="0"/>
                <w:sz w:val="18"/>
                <w:szCs w:val="18"/>
                <w:vertAlign w:val="superscript"/>
              </w:rPr>
              <w:t>3</w:t>
            </w:r>
            <w:r>
              <w:rPr>
                <w:kern w:val="0"/>
                <w:sz w:val="18"/>
                <w:szCs w:val="18"/>
              </w:rPr>
              <w:t>/s)</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70.1</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堰顶净宽(m)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12</w:t>
            </w:r>
          </w:p>
        </w:tc>
      </w:tr>
      <w:tr>
        <w:trPr>
          <w:trHeight w:val="285" w:hRule="atLeast"/>
          <w:jc w:val="center"/>
        </w:trPr>
        <w:tc>
          <w:tcPr>
            <w:tcW w:w="396" w:type="dxa"/>
            <w:vMerge w:val="continue"/>
            <w:tcBorders>
              <w:top w:val="nil"/>
              <w:left w:val="single" w:color="auto"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3日洪量(m</w:t>
            </w:r>
            <w:r>
              <w:rPr>
                <w:kern w:val="0"/>
                <w:sz w:val="18"/>
                <w:szCs w:val="18"/>
                <w:vertAlign w:val="superscript"/>
              </w:rPr>
              <w:t>3</w:t>
            </w:r>
            <w:r>
              <w:rPr>
                <w:kern w:val="0"/>
                <w:sz w:val="18"/>
                <w:szCs w:val="18"/>
              </w:rPr>
              <w:t>)</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闸门型式</w:t>
            </w:r>
          </w:p>
        </w:tc>
        <w:tc>
          <w:tcPr>
            <w:tcW w:w="1772"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restart"/>
            <w:tcBorders>
              <w:top w:val="single" w:color="auto" w:sz="4"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水库特征</w:t>
            </w:r>
          </w:p>
        </w:tc>
        <w:tc>
          <w:tcPr>
            <w:tcW w:w="2187"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水库调节特性</w:t>
            </w:r>
          </w:p>
        </w:tc>
        <w:tc>
          <w:tcPr>
            <w:tcW w:w="1694"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年</w:t>
            </w:r>
          </w:p>
        </w:tc>
        <w:tc>
          <w:tcPr>
            <w:tcW w:w="579" w:type="dxa"/>
            <w:vMerge w:val="continue"/>
            <w:tcBorders>
              <w:top w:val="single" w:color="auto" w:sz="4"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闸门尺寸</w:t>
            </w:r>
          </w:p>
        </w:tc>
        <w:tc>
          <w:tcPr>
            <w:tcW w:w="1772" w:type="dxa"/>
            <w:tcBorders>
              <w:top w:val="single" w:color="auto" w:sz="4" w:space="0"/>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校核洪水位(m)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96.44</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最大泄量(m</w:t>
            </w:r>
            <w:r>
              <w:rPr>
                <w:kern w:val="0"/>
                <w:sz w:val="18"/>
                <w:szCs w:val="18"/>
                <w:vertAlign w:val="superscript"/>
              </w:rPr>
              <w:t>3</w:t>
            </w:r>
            <w:r>
              <w:rPr>
                <w:kern w:val="0"/>
                <w:sz w:val="18"/>
                <w:szCs w:val="18"/>
              </w:rPr>
              <w:t>/s)</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3.5</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设计洪水位(m)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96.01</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消能型式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无</w:t>
            </w: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正常蓄水位(m)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94.15</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启闭设备</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汛限水位(m)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94.15</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非常溢洪道</w:t>
            </w: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型式</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死水位(m)</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堰顶高程(m)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总库容(m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15.5</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堰顶净宽(m)</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调洪库容(m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7.00</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最大泄量(m</w:t>
            </w:r>
            <w:r>
              <w:rPr>
                <w:kern w:val="0"/>
                <w:sz w:val="18"/>
                <w:szCs w:val="18"/>
                <w:vertAlign w:val="superscript"/>
              </w:rPr>
              <w:t>3</w:t>
            </w:r>
            <w:r>
              <w:rPr>
                <w:kern w:val="0"/>
                <w:sz w:val="18"/>
                <w:szCs w:val="18"/>
              </w:rPr>
              <w:t>/s)</w:t>
            </w:r>
          </w:p>
        </w:tc>
        <w:tc>
          <w:tcPr>
            <w:tcW w:w="1772" w:type="dxa"/>
            <w:tcBorders>
              <w:top w:val="nil"/>
              <w:left w:val="nil"/>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兴利库容(m</w:t>
            </w:r>
            <w:r>
              <w:rPr>
                <w:kern w:val="0"/>
                <w:sz w:val="18"/>
                <w:szCs w:val="18"/>
                <w:vertAlign w:val="superscript"/>
              </w:rPr>
              <w:t>3</w:t>
            </w:r>
            <w:r>
              <w:rPr>
                <w:kern w:val="0"/>
                <w:sz w:val="18"/>
                <w:szCs w:val="18"/>
              </w:rPr>
              <w:t>)</w:t>
            </w:r>
          </w:p>
        </w:tc>
        <w:tc>
          <w:tcPr>
            <w:tcW w:w="169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rFonts w:hint="eastAsia"/>
                <w:kern w:val="0"/>
                <w:sz w:val="18"/>
                <w:szCs w:val="18"/>
              </w:rPr>
              <w:t>4.50</w:t>
            </w:r>
            <w:r>
              <w:rPr>
                <w:kern w:val="0"/>
                <w:sz w:val="18"/>
                <w:szCs w:val="18"/>
              </w:rPr>
              <w:t>万</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5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消能型式</w:t>
            </w:r>
          </w:p>
        </w:tc>
        <w:tc>
          <w:tcPr>
            <w:tcW w:w="177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死库容(m</w:t>
            </w:r>
            <w:r>
              <w:rPr>
                <w:kern w:val="0"/>
                <w:sz w:val="18"/>
                <w:szCs w:val="18"/>
                <w:vertAlign w:val="superscript"/>
              </w:rPr>
              <w:t>3</w:t>
            </w:r>
            <w:r>
              <w:rPr>
                <w:kern w:val="0"/>
                <w:sz w:val="18"/>
                <w:szCs w:val="18"/>
              </w:rPr>
              <w:t>)</w:t>
            </w:r>
          </w:p>
        </w:tc>
        <w:tc>
          <w:tcPr>
            <w:tcW w:w="1694" w:type="dxa"/>
            <w:tcBorders>
              <w:top w:val="nil"/>
              <w:left w:val="nil"/>
              <w:bottom w:val="single" w:color="auto" w:sz="4" w:space="0"/>
              <w:right w:val="single" w:color="000000" w:sz="8" w:space="0"/>
            </w:tcBorders>
            <w:shd w:val="clear" w:color="auto" w:fill="auto"/>
            <w:vAlign w:val="center"/>
          </w:tcPr>
          <w:p>
            <w:pPr>
              <w:widowControl/>
              <w:spacing w:line="240" w:lineRule="auto"/>
              <w:ind w:firstLine="0" w:firstLineChars="0"/>
              <w:rPr>
                <w:kern w:val="0"/>
                <w:sz w:val="18"/>
                <w:szCs w:val="18"/>
              </w:rPr>
            </w:pPr>
            <w:r>
              <w:rPr>
                <w:kern w:val="0"/>
                <w:sz w:val="18"/>
                <w:szCs w:val="18"/>
              </w:rPr>
              <w:t>　</w:t>
            </w:r>
          </w:p>
        </w:tc>
        <w:tc>
          <w:tcPr>
            <w:tcW w:w="579" w:type="dxa"/>
            <w:vMerge w:val="continue"/>
            <w:tcBorders>
              <w:top w:val="nil"/>
              <w:left w:val="single" w:color="000000" w:sz="8" w:space="0"/>
              <w:bottom w:val="single" w:color="auto" w:sz="4" w:space="0"/>
              <w:right w:val="single" w:color="000000" w:sz="8" w:space="0"/>
            </w:tcBorders>
            <w:vAlign w:val="center"/>
          </w:tcPr>
          <w:p>
            <w:pPr>
              <w:widowControl/>
              <w:spacing w:line="240" w:lineRule="auto"/>
              <w:ind w:firstLine="0" w:firstLineChars="0"/>
              <w:rPr>
                <w:kern w:val="0"/>
                <w:sz w:val="18"/>
                <w:szCs w:val="18"/>
              </w:rPr>
            </w:pPr>
          </w:p>
        </w:tc>
        <w:tc>
          <w:tcPr>
            <w:tcW w:w="1752"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1772"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rPr>
                <w:kern w:val="0"/>
                <w:sz w:val="18"/>
                <w:szCs w:val="18"/>
              </w:rPr>
            </w:pPr>
          </w:p>
        </w:tc>
      </w:tr>
      <w:tr>
        <w:trPr>
          <w:trHeight w:val="270" w:hRule="atLeast"/>
          <w:jc w:val="center"/>
        </w:trPr>
        <w:tc>
          <w:tcPr>
            <w:tcW w:w="396" w:type="dxa"/>
            <w:vMerge w:val="restart"/>
            <w:tcBorders>
              <w:top w:val="single" w:color="auto" w:sz="4" w:space="0"/>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工程运行</w:t>
            </w:r>
          </w:p>
        </w:tc>
        <w:tc>
          <w:tcPr>
            <w:tcW w:w="2187" w:type="dxa"/>
            <w:tcBorders>
              <w:top w:val="single" w:color="auto" w:sz="4" w:space="0"/>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历史最高库水位(m)</w:t>
            </w:r>
          </w:p>
        </w:tc>
        <w:tc>
          <w:tcPr>
            <w:tcW w:w="1694"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其他泄洪措施</w:t>
            </w:r>
          </w:p>
        </w:tc>
        <w:tc>
          <w:tcPr>
            <w:tcW w:w="352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70"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历史最大入库水位(m)</w:t>
            </w:r>
          </w:p>
        </w:tc>
        <w:tc>
          <w:tcPr>
            <w:tcW w:w="169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blPrEx>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r>
        <w:trPr>
          <w:trHeight w:val="270"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nil"/>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历史最大出库水位(m)</w:t>
            </w:r>
          </w:p>
        </w:tc>
        <w:tc>
          <w:tcPr>
            <w:tcW w:w="169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　</w:t>
            </w:r>
          </w:p>
        </w:tc>
        <w:tc>
          <w:tcPr>
            <w:tcW w:w="57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备注</w:t>
            </w:r>
          </w:p>
        </w:tc>
        <w:tc>
          <w:tcPr>
            <w:tcW w:w="352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p>
        </w:tc>
      </w:tr>
      <w:tr>
        <w:trPr>
          <w:trHeight w:val="285" w:hRule="atLeast"/>
          <w:jc w:val="center"/>
        </w:trPr>
        <w:tc>
          <w:tcPr>
            <w:tcW w:w="396"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218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kern w:val="0"/>
                <w:sz w:val="18"/>
                <w:szCs w:val="18"/>
              </w:rPr>
            </w:pPr>
            <w:r>
              <w:rPr>
                <w:kern w:val="0"/>
                <w:sz w:val="18"/>
                <w:szCs w:val="18"/>
              </w:rPr>
              <w:t>及发生日期</w:t>
            </w:r>
          </w:p>
        </w:tc>
        <w:tc>
          <w:tcPr>
            <w:tcW w:w="169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579"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c>
          <w:tcPr>
            <w:tcW w:w="3524"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kern w:val="0"/>
                <w:sz w:val="18"/>
                <w:szCs w:val="18"/>
              </w:rPr>
            </w:pPr>
          </w:p>
        </w:tc>
      </w:tr>
    </w:tbl>
    <w:p>
      <w:pPr>
        <w:ind w:firstLine="0" w:firstLineChars="0"/>
      </w:pPr>
    </w:p>
    <w:p>
      <w:pPr>
        <w:ind w:firstLine="0" w:firstLineChars="0"/>
      </w:pPr>
    </w:p>
    <w:p>
      <w:pPr>
        <w:ind w:firstLine="0" w:firstLineChars="0"/>
      </w:pPr>
    </w:p>
    <w:p>
      <w:pPr>
        <w:ind w:firstLine="0" w:firstLineChars="0"/>
      </w:pPr>
    </w:p>
    <w:p>
      <w:pPr>
        <w:pStyle w:val="12"/>
      </w:pPr>
      <w:r>
        <w:rPr>
          <w:rFonts w:hint="eastAsia"/>
        </w:rPr>
        <w:t>表</w:t>
      </w:r>
      <w:r>
        <w:fldChar w:fldCharType="begin"/>
      </w:r>
      <w:r>
        <w:rPr>
          <w:rFonts w:hint="eastAsia"/>
        </w:rPr>
        <w:instrText xml:space="preserve">STYLEREF 2 \s</w:instrText>
      </w:r>
      <w:r>
        <w:fldChar w:fldCharType="separate"/>
      </w:r>
      <w:r>
        <w:t>8.2</w:t>
      </w:r>
      <w:r>
        <w:fldChar w:fldCharType="end"/>
      </w:r>
      <w:r>
        <w:noBreakHyphen/>
      </w:r>
      <w:r>
        <w:rPr>
          <w:rFonts w:hint="eastAsia"/>
        </w:rPr>
        <w:t>2水库安全度汛责任人</w:t>
      </w:r>
    </w:p>
    <w:p>
      <w:pPr>
        <w:ind w:firstLine="0" w:firstLineChars="0"/>
      </w:pPr>
    </w:p>
    <w:tbl>
      <w:tblPr>
        <w:tblStyle w:val="24"/>
        <w:tblW w:w="8505" w:type="dxa"/>
        <w:tblInd w:w="97" w:type="dxa"/>
        <w:tblLayout w:type="autofit"/>
        <w:tblCellMar>
          <w:top w:w="0" w:type="dxa"/>
          <w:left w:w="108" w:type="dxa"/>
          <w:bottom w:w="0" w:type="dxa"/>
          <w:right w:w="108" w:type="dxa"/>
        </w:tblCellMar>
      </w:tblPr>
      <w:tblGrid>
        <w:gridCol w:w="1389"/>
        <w:gridCol w:w="1489"/>
        <w:gridCol w:w="3149"/>
        <w:gridCol w:w="2478"/>
      </w:tblGrid>
      <w:tr>
        <w:tblPrEx>
          <w:tblCellMar>
            <w:top w:w="0" w:type="dxa"/>
            <w:left w:w="108" w:type="dxa"/>
            <w:bottom w:w="0" w:type="dxa"/>
            <w:right w:w="108" w:type="dxa"/>
          </w:tblCellMar>
        </w:tblPrEx>
        <w:trPr>
          <w:trHeight w:val="403" w:hRule="atLeast"/>
        </w:trPr>
        <w:tc>
          <w:tcPr>
            <w:tcW w:w="2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00" w:firstLineChars="0"/>
              <w:jc w:val="center"/>
              <w:rPr>
                <w:rFonts w:ascii="宋体" w:hAnsi="宋体" w:cs="宋体"/>
                <w:kern w:val="0"/>
                <w:sz w:val="20"/>
                <w:szCs w:val="20"/>
              </w:rPr>
            </w:pPr>
            <w:r>
              <w:rPr>
                <w:rFonts w:hint="eastAsia" w:ascii="宋体" w:hAnsi="宋体" w:cs="宋体"/>
                <w:kern w:val="0"/>
                <w:sz w:val="20"/>
                <w:szCs w:val="20"/>
              </w:rPr>
              <w:t>行政责任人</w:t>
            </w:r>
          </w:p>
        </w:tc>
        <w:tc>
          <w:tcPr>
            <w:tcW w:w="3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姓名</w:t>
            </w:r>
          </w:p>
        </w:tc>
        <w:tc>
          <w:tcPr>
            <w:tcW w:w="7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单位及职务</w:t>
            </w:r>
          </w:p>
        </w:tc>
        <w:tc>
          <w:tcPr>
            <w:tcW w:w="4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联系方式</w:t>
            </w:r>
          </w:p>
        </w:tc>
      </w:tr>
      <w:tr>
        <w:tblPrEx>
          <w:tblCellMar>
            <w:top w:w="0" w:type="dxa"/>
            <w:left w:w="108" w:type="dxa"/>
            <w:bottom w:w="0" w:type="dxa"/>
            <w:right w:w="108" w:type="dxa"/>
          </w:tblCellMar>
        </w:tblPrEx>
        <w:trPr>
          <w:trHeight w:val="403" w:hRule="atLeast"/>
        </w:trPr>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p>
        </w:tc>
        <w:tc>
          <w:tcPr>
            <w:tcW w:w="3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张健</w:t>
            </w:r>
          </w:p>
        </w:tc>
        <w:tc>
          <w:tcPr>
            <w:tcW w:w="7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 xml:space="preserve">王村镇镇长 </w:t>
            </w:r>
          </w:p>
        </w:tc>
        <w:tc>
          <w:tcPr>
            <w:tcW w:w="4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18753380666</w:t>
            </w:r>
          </w:p>
        </w:tc>
      </w:tr>
      <w:tr>
        <w:tblPrEx>
          <w:tblCellMar>
            <w:top w:w="0" w:type="dxa"/>
            <w:left w:w="108" w:type="dxa"/>
            <w:bottom w:w="0" w:type="dxa"/>
            <w:right w:w="108" w:type="dxa"/>
          </w:tblCellMar>
        </w:tblPrEx>
        <w:trPr>
          <w:trHeight w:val="403" w:hRule="atLeast"/>
        </w:trPr>
        <w:tc>
          <w:tcPr>
            <w:tcW w:w="22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技术责任人</w:t>
            </w:r>
          </w:p>
        </w:tc>
        <w:tc>
          <w:tcPr>
            <w:tcW w:w="3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姓名</w:t>
            </w:r>
          </w:p>
        </w:tc>
        <w:tc>
          <w:tcPr>
            <w:tcW w:w="7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单位及职务</w:t>
            </w:r>
          </w:p>
        </w:tc>
        <w:tc>
          <w:tcPr>
            <w:tcW w:w="4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联系方式</w:t>
            </w:r>
          </w:p>
        </w:tc>
      </w:tr>
      <w:tr>
        <w:tblPrEx>
          <w:tblCellMar>
            <w:top w:w="0" w:type="dxa"/>
            <w:left w:w="108" w:type="dxa"/>
            <w:bottom w:w="0" w:type="dxa"/>
            <w:right w:w="108" w:type="dxa"/>
          </w:tblCellMar>
        </w:tblPrEx>
        <w:trPr>
          <w:trHeight w:val="403" w:hRule="atLeast"/>
        </w:trPr>
        <w:tc>
          <w:tcPr>
            <w:tcW w:w="224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p>
        </w:tc>
        <w:tc>
          <w:tcPr>
            <w:tcW w:w="3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沈元海</w:t>
            </w:r>
          </w:p>
        </w:tc>
        <w:tc>
          <w:tcPr>
            <w:tcW w:w="7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王村镇农委科员</w:t>
            </w:r>
          </w:p>
        </w:tc>
        <w:tc>
          <w:tcPr>
            <w:tcW w:w="4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13583361403</w:t>
            </w:r>
          </w:p>
        </w:tc>
      </w:tr>
      <w:tr>
        <w:tblPrEx>
          <w:tblCellMar>
            <w:top w:w="0" w:type="dxa"/>
            <w:left w:w="108" w:type="dxa"/>
            <w:bottom w:w="0" w:type="dxa"/>
            <w:right w:w="108" w:type="dxa"/>
          </w:tblCellMar>
        </w:tblPrEx>
        <w:trPr>
          <w:trHeight w:val="403" w:hRule="atLeast"/>
        </w:trPr>
        <w:tc>
          <w:tcPr>
            <w:tcW w:w="22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巡查责任人</w:t>
            </w:r>
          </w:p>
        </w:tc>
        <w:tc>
          <w:tcPr>
            <w:tcW w:w="3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姓名</w:t>
            </w:r>
          </w:p>
        </w:tc>
        <w:tc>
          <w:tcPr>
            <w:tcW w:w="7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单位及职务</w:t>
            </w:r>
          </w:p>
        </w:tc>
        <w:tc>
          <w:tcPr>
            <w:tcW w:w="4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联系方式</w:t>
            </w:r>
          </w:p>
        </w:tc>
      </w:tr>
      <w:tr>
        <w:tblPrEx>
          <w:tblCellMar>
            <w:top w:w="0" w:type="dxa"/>
            <w:left w:w="108" w:type="dxa"/>
            <w:bottom w:w="0" w:type="dxa"/>
            <w:right w:w="108" w:type="dxa"/>
          </w:tblCellMar>
        </w:tblPrEx>
        <w:trPr>
          <w:trHeight w:val="583" w:hRule="atLeast"/>
        </w:trPr>
        <w:tc>
          <w:tcPr>
            <w:tcW w:w="224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p>
        </w:tc>
        <w:tc>
          <w:tcPr>
            <w:tcW w:w="3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刘月芬</w:t>
            </w:r>
          </w:p>
        </w:tc>
        <w:tc>
          <w:tcPr>
            <w:tcW w:w="7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东道水管员</w:t>
            </w:r>
          </w:p>
        </w:tc>
        <w:tc>
          <w:tcPr>
            <w:tcW w:w="4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13864452536</w:t>
            </w:r>
          </w:p>
        </w:tc>
      </w:tr>
    </w:tbl>
    <w:p>
      <w:pPr>
        <w:ind w:firstLine="0" w:firstLineChars="0"/>
      </w:pPr>
    </w:p>
    <w:p>
      <w:pPr>
        <w:ind w:firstLine="0" w:firstLineChars="0"/>
      </w:pPr>
    </w:p>
    <w:p>
      <w:pPr>
        <w:pStyle w:val="12"/>
        <w:pageBreakBefore/>
      </w:pPr>
    </w:p>
    <w:p>
      <w:pPr>
        <w:pStyle w:val="12"/>
      </w:pPr>
      <w:r>
        <w:rPr>
          <w:rFonts w:hint="eastAsia"/>
        </w:rPr>
        <w:t>表</w:t>
      </w:r>
      <w:r>
        <w:fldChar w:fldCharType="begin"/>
      </w:r>
      <w:r>
        <w:rPr>
          <w:rFonts w:hint="eastAsia"/>
        </w:rPr>
        <w:instrText xml:space="preserve">STYLEREF 2 \s</w:instrText>
      </w:r>
      <w:r>
        <w:fldChar w:fldCharType="separate"/>
      </w:r>
      <w:r>
        <w:t>8.2</w:t>
      </w:r>
      <w:r>
        <w:fldChar w:fldCharType="end"/>
      </w:r>
      <w:r>
        <w:noBreakHyphen/>
      </w:r>
      <w:r>
        <w:rPr>
          <w:rFonts w:hint="eastAsia"/>
        </w:rPr>
        <w:t>3水库水位~库容~泄量关系表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18"/>
        <w:gridCol w:w="1275"/>
        <w:gridCol w:w="1418"/>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31" w:type="dxa"/>
            <w:vAlign w:val="center"/>
          </w:tcPr>
          <w:p>
            <w:pPr>
              <w:widowControl/>
              <w:spacing w:line="240" w:lineRule="auto"/>
              <w:ind w:firstLine="0" w:firstLineChars="0"/>
              <w:jc w:val="center"/>
              <w:rPr>
                <w:kern w:val="0"/>
                <w:sz w:val="18"/>
                <w:szCs w:val="18"/>
              </w:rPr>
            </w:pPr>
            <w:r>
              <w:rPr>
                <w:rFonts w:hint="eastAsia"/>
                <w:kern w:val="0"/>
                <w:sz w:val="18"/>
                <w:szCs w:val="18"/>
              </w:rPr>
              <w:t>水位</w:t>
            </w:r>
            <w:r>
              <w:rPr>
                <w:rFonts w:hint="eastAsia"/>
                <w:kern w:val="0"/>
                <w:sz w:val="18"/>
                <w:szCs w:val="18"/>
              </w:rPr>
              <w:br w:type="textWrapping"/>
            </w:r>
            <w:r>
              <w:rPr>
                <w:rFonts w:hint="eastAsia"/>
                <w:kern w:val="0"/>
                <w:sz w:val="18"/>
                <w:szCs w:val="18"/>
              </w:rPr>
              <w:t>（m）</w:t>
            </w:r>
          </w:p>
        </w:tc>
        <w:tc>
          <w:tcPr>
            <w:tcW w:w="1418" w:type="dxa"/>
            <w:vAlign w:val="center"/>
          </w:tcPr>
          <w:p>
            <w:pPr>
              <w:widowControl/>
              <w:spacing w:line="240" w:lineRule="auto"/>
              <w:ind w:firstLine="0" w:firstLineChars="0"/>
              <w:jc w:val="center"/>
              <w:rPr>
                <w:kern w:val="0"/>
                <w:sz w:val="18"/>
                <w:szCs w:val="18"/>
              </w:rPr>
            </w:pPr>
            <w:r>
              <w:rPr>
                <w:rFonts w:hint="eastAsia"/>
                <w:kern w:val="0"/>
                <w:sz w:val="18"/>
                <w:szCs w:val="18"/>
              </w:rPr>
              <w:t>库容（万m3）</w:t>
            </w:r>
          </w:p>
        </w:tc>
        <w:tc>
          <w:tcPr>
            <w:tcW w:w="1275" w:type="dxa"/>
            <w:vAlign w:val="center"/>
          </w:tcPr>
          <w:p>
            <w:pPr>
              <w:widowControl/>
              <w:spacing w:line="240" w:lineRule="auto"/>
              <w:ind w:firstLine="0" w:firstLineChars="0"/>
              <w:jc w:val="center"/>
              <w:rPr>
                <w:kern w:val="0"/>
                <w:sz w:val="18"/>
                <w:szCs w:val="18"/>
              </w:rPr>
            </w:pPr>
            <w:r>
              <w:rPr>
                <w:rFonts w:hint="eastAsia"/>
                <w:kern w:val="0"/>
                <w:sz w:val="18"/>
                <w:szCs w:val="18"/>
              </w:rPr>
              <w:t>调洪库容</w:t>
            </w:r>
            <w:r>
              <w:rPr>
                <w:rFonts w:hint="eastAsia"/>
                <w:kern w:val="0"/>
                <w:sz w:val="18"/>
                <w:szCs w:val="18"/>
              </w:rPr>
              <w:br w:type="textWrapping"/>
            </w:r>
            <w:r>
              <w:rPr>
                <w:rFonts w:hint="eastAsia"/>
                <w:kern w:val="0"/>
                <w:sz w:val="18"/>
                <w:szCs w:val="18"/>
              </w:rPr>
              <w:t>（万m3）</w:t>
            </w:r>
          </w:p>
        </w:tc>
        <w:tc>
          <w:tcPr>
            <w:tcW w:w="1418" w:type="dxa"/>
            <w:vAlign w:val="center"/>
          </w:tcPr>
          <w:p>
            <w:pPr>
              <w:widowControl/>
              <w:spacing w:line="240" w:lineRule="auto"/>
              <w:ind w:firstLine="0" w:firstLineChars="0"/>
              <w:jc w:val="center"/>
              <w:rPr>
                <w:kern w:val="0"/>
                <w:sz w:val="18"/>
                <w:szCs w:val="18"/>
              </w:rPr>
            </w:pPr>
            <w:r>
              <w:rPr>
                <w:rFonts w:hint="eastAsia"/>
                <w:kern w:val="0"/>
                <w:sz w:val="18"/>
                <w:szCs w:val="18"/>
              </w:rPr>
              <w:t>溢流堰净宽（m）</w:t>
            </w:r>
          </w:p>
        </w:tc>
        <w:tc>
          <w:tcPr>
            <w:tcW w:w="1276" w:type="dxa"/>
            <w:vAlign w:val="center"/>
          </w:tcPr>
          <w:p>
            <w:pPr>
              <w:widowControl/>
              <w:spacing w:line="240" w:lineRule="auto"/>
              <w:ind w:firstLine="0" w:firstLineChars="0"/>
              <w:jc w:val="center"/>
              <w:rPr>
                <w:kern w:val="0"/>
                <w:sz w:val="18"/>
                <w:szCs w:val="18"/>
              </w:rPr>
            </w:pPr>
            <w:r>
              <w:rPr>
                <w:rFonts w:hint="eastAsia"/>
                <w:kern w:val="0"/>
                <w:sz w:val="18"/>
                <w:szCs w:val="18"/>
              </w:rPr>
              <w:t>堰上水深（m）</w:t>
            </w:r>
          </w:p>
        </w:tc>
        <w:tc>
          <w:tcPr>
            <w:tcW w:w="1275" w:type="dxa"/>
            <w:vAlign w:val="center"/>
          </w:tcPr>
          <w:p>
            <w:pPr>
              <w:widowControl/>
              <w:spacing w:line="240" w:lineRule="auto"/>
              <w:ind w:firstLine="0" w:firstLineChars="0"/>
              <w:jc w:val="center"/>
              <w:rPr>
                <w:kern w:val="0"/>
                <w:sz w:val="18"/>
                <w:szCs w:val="18"/>
              </w:rPr>
            </w:pPr>
            <w:r>
              <w:rPr>
                <w:rFonts w:hint="eastAsia"/>
                <w:kern w:val="0"/>
                <w:sz w:val="18"/>
                <w:szCs w:val="18"/>
              </w:rPr>
              <w:t>泄流量（m3/s）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94.15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4.5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0</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94.65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4.7</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0.2</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0.5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95.15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5.72</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1.22</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1</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95.65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8.39</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3.89</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1.5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96.15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12.43</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7.93</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2</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96.65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17.84</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13.34</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2.5</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1" w:type="dxa"/>
            <w:vAlign w:val="bottom"/>
          </w:tcPr>
          <w:p>
            <w:pPr>
              <w:widowControl/>
              <w:spacing w:line="240" w:lineRule="auto"/>
              <w:ind w:firstLine="0" w:firstLineChars="0"/>
              <w:jc w:val="center"/>
              <w:rPr>
                <w:kern w:val="0"/>
                <w:sz w:val="18"/>
                <w:szCs w:val="18"/>
              </w:rPr>
            </w:pPr>
            <w:r>
              <w:rPr>
                <w:rFonts w:hint="eastAsia"/>
                <w:kern w:val="0"/>
                <w:sz w:val="18"/>
                <w:szCs w:val="18"/>
              </w:rPr>
              <w:t>97.15</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23.16</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18.66</w:t>
            </w:r>
          </w:p>
        </w:tc>
        <w:tc>
          <w:tcPr>
            <w:tcW w:w="1418" w:type="dxa"/>
            <w:vAlign w:val="bottom"/>
          </w:tcPr>
          <w:p>
            <w:pPr>
              <w:widowControl/>
              <w:spacing w:line="240" w:lineRule="auto"/>
              <w:ind w:firstLine="0" w:firstLineChars="0"/>
              <w:jc w:val="center"/>
              <w:rPr>
                <w:kern w:val="0"/>
                <w:sz w:val="18"/>
                <w:szCs w:val="18"/>
              </w:rPr>
            </w:pPr>
            <w:r>
              <w:rPr>
                <w:rFonts w:hint="eastAsia"/>
                <w:kern w:val="0"/>
                <w:sz w:val="18"/>
                <w:szCs w:val="18"/>
              </w:rPr>
              <w:t>12</w:t>
            </w:r>
          </w:p>
        </w:tc>
        <w:tc>
          <w:tcPr>
            <w:tcW w:w="1276" w:type="dxa"/>
            <w:vAlign w:val="bottom"/>
          </w:tcPr>
          <w:p>
            <w:pPr>
              <w:widowControl/>
              <w:spacing w:line="240" w:lineRule="auto"/>
              <w:ind w:firstLine="0" w:firstLineChars="0"/>
              <w:jc w:val="center"/>
              <w:rPr>
                <w:kern w:val="0"/>
                <w:sz w:val="18"/>
                <w:szCs w:val="18"/>
              </w:rPr>
            </w:pPr>
            <w:r>
              <w:rPr>
                <w:rFonts w:hint="eastAsia"/>
                <w:kern w:val="0"/>
                <w:sz w:val="18"/>
                <w:szCs w:val="18"/>
              </w:rPr>
              <w:t>3</w:t>
            </w:r>
          </w:p>
        </w:tc>
        <w:tc>
          <w:tcPr>
            <w:tcW w:w="1275" w:type="dxa"/>
            <w:vAlign w:val="bottom"/>
          </w:tcPr>
          <w:p>
            <w:pPr>
              <w:widowControl/>
              <w:spacing w:line="240" w:lineRule="auto"/>
              <w:ind w:firstLine="0" w:firstLineChars="0"/>
              <w:jc w:val="center"/>
              <w:rPr>
                <w:kern w:val="0"/>
                <w:sz w:val="18"/>
                <w:szCs w:val="18"/>
              </w:rPr>
            </w:pPr>
            <w:r>
              <w:rPr>
                <w:rFonts w:hint="eastAsia"/>
                <w:kern w:val="0"/>
                <w:sz w:val="18"/>
                <w:szCs w:val="18"/>
              </w:rPr>
              <w:t>141.4</w:t>
            </w:r>
          </w:p>
        </w:tc>
      </w:tr>
    </w:tbl>
    <w:p>
      <w:pPr>
        <w:pStyle w:val="12"/>
      </w:pPr>
    </w:p>
    <w:p>
      <w:pPr>
        <w:pStyle w:val="12"/>
      </w:pPr>
      <w:r>
        <w:drawing>
          <wp:inline distT="0" distB="0" distL="0" distR="0">
            <wp:extent cx="4743450" cy="2990850"/>
            <wp:effectExtent l="0" t="0" r="19050" b="1905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12"/>
      </w:pPr>
      <w:r>
        <w:rPr>
          <w:rFonts w:hint="eastAsia"/>
        </w:rPr>
        <w:t>图</w:t>
      </w:r>
      <w:r>
        <w:fldChar w:fldCharType="begin"/>
      </w:r>
      <w:r>
        <w:rPr>
          <w:rFonts w:hint="eastAsia"/>
        </w:rPr>
        <w:instrText xml:space="preserve">STYLEREF 2 \s</w:instrText>
      </w:r>
      <w:r>
        <w:fldChar w:fldCharType="separate"/>
      </w:r>
      <w:r>
        <w:t>8.2</w:t>
      </w:r>
      <w:r>
        <w:fldChar w:fldCharType="end"/>
      </w:r>
      <w:r>
        <w:noBreakHyphen/>
      </w:r>
      <w:r>
        <w:fldChar w:fldCharType="begin"/>
      </w:r>
      <w:r>
        <w:rPr>
          <w:rFonts w:hint="eastAsia"/>
        </w:rPr>
        <w:instrText xml:space="preserve">SEQ 图 \* ARABIC \s 2</w:instrText>
      </w:r>
      <w:r>
        <w:fldChar w:fldCharType="separate"/>
      </w:r>
      <w:r>
        <w:t>1</w:t>
      </w:r>
      <w:r>
        <w:fldChar w:fldCharType="end"/>
      </w:r>
      <w:r>
        <w:rPr>
          <w:rFonts w:hint="eastAsia"/>
        </w:rPr>
        <w:t>水库水位~库容~泄量曲线</w:t>
      </w:r>
    </w:p>
    <w:p>
      <w:pPr>
        <w:ind w:firstLine="0" w:firstLineChars="0"/>
      </w:pPr>
    </w:p>
    <w:p>
      <w:pPr>
        <w:pStyle w:val="12"/>
        <w:ind w:firstLine="480"/>
      </w:pPr>
    </w:p>
    <w:p>
      <w:pPr>
        <w:ind w:firstLine="480"/>
        <w:jc w:val="center"/>
      </w:pPr>
    </w:p>
    <w:p>
      <w:pPr>
        <w:ind w:firstLine="0" w:firstLineChars="0"/>
      </w:pPr>
    </w:p>
    <w:sectPr>
      <w:headerReference r:id="rId17" w:type="default"/>
      <w:footerReference r:id="rId18" w:type="default"/>
      <w:pgSz w:w="11906" w:h="16838"/>
      <w:pgMar w:top="1418" w:right="1701" w:bottom="1418" w:left="1701" w:header="851" w:footer="992" w:gutter="0"/>
      <w:pgNumType w:fmt="numberInDash" w:start="1"/>
      <w:cols w:space="720" w:num="1"/>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0" w:usb3="00000000" w:csb0="00000001" w:csb1="00000000"/>
  </w:font>
  <w:font w:name="Cambria Math">
    <w:altName w:val="DejaVu Math TeX Gyre"/>
    <w:panose1 w:val="02040503050406030204"/>
    <w:charset w:val="00"/>
    <w:family w:val="roman"/>
    <w:pitch w:val="default"/>
    <w:sig w:usb0="00000000" w:usb1="00000000" w:usb2="00000000" w:usb3="00000000" w:csb0="0000019F"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pPr>
    <w:r>
      <w:fldChar w:fldCharType="begin"/>
    </w:r>
    <w:r>
      <w:instrText xml:space="preserve"> PAGE  \* MERGEFORMAT </w:instrText>
    </w:r>
    <w:r>
      <w:fldChar w:fldCharType="separate"/>
    </w:r>
    <w:r>
      <w:t>- 8 -</w:t>
    </w:r>
    <w: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center"/>
    </w:pPr>
    <w:r>
      <w:rPr>
        <w:rFonts w:hint="eastAsia"/>
      </w:rPr>
      <w:t>东道水库防洪抢险应急预案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03831"/>
    <w:multiLevelType w:val="multilevel"/>
    <w:tmpl w:val="24503831"/>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1135"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426" w:firstLine="0"/>
      </w:pPr>
      <w:rPr>
        <w:rFonts w:hint="eastAsia"/>
      </w:rPr>
    </w:lvl>
    <w:lvl w:ilvl="4" w:tentative="0">
      <w:start w:val="1"/>
      <w:numFmt w:val="decimal"/>
      <w:pStyle w:val="6"/>
      <w:lvlText w:val="%1.%2.%3.%4.%5"/>
      <w:lvlJc w:val="left"/>
      <w:pPr>
        <w:ind w:left="568" w:firstLine="0"/>
      </w:pPr>
      <w:rPr>
        <w:rFonts w:hint="eastAsia"/>
      </w:rPr>
    </w:lvl>
    <w:lvl w:ilvl="5" w:tentative="0">
      <w:start w:val="1"/>
      <w:numFmt w:val="decimal"/>
      <w:pStyle w:val="7"/>
      <w:lvlText w:val="%1.%2.%3.%4.%5.%6"/>
      <w:lvlJc w:val="left"/>
      <w:pPr>
        <w:ind w:left="710" w:firstLine="0"/>
      </w:pPr>
      <w:rPr>
        <w:rFonts w:hint="eastAsia"/>
      </w:rPr>
    </w:lvl>
    <w:lvl w:ilvl="6" w:tentative="0">
      <w:start w:val="1"/>
      <w:numFmt w:val="decimal"/>
      <w:pStyle w:val="9"/>
      <w:lvlText w:val="%1.%2.%3.%4.%5.%6.%7"/>
      <w:lvlJc w:val="left"/>
      <w:pPr>
        <w:ind w:left="852" w:firstLine="0"/>
      </w:pPr>
      <w:rPr>
        <w:rFonts w:hint="eastAsia"/>
      </w:rPr>
    </w:lvl>
    <w:lvl w:ilvl="7" w:tentative="0">
      <w:start w:val="1"/>
      <w:numFmt w:val="decimal"/>
      <w:pStyle w:val="10"/>
      <w:lvlText w:val="%1.%2.%3.%4.%5.%6.%7.%8"/>
      <w:lvlJc w:val="left"/>
      <w:pPr>
        <w:ind w:left="994" w:firstLine="0"/>
      </w:pPr>
      <w:rPr>
        <w:rFonts w:hint="eastAsia"/>
      </w:rPr>
    </w:lvl>
    <w:lvl w:ilvl="8" w:tentative="0">
      <w:start w:val="1"/>
      <w:numFmt w:val="decimal"/>
      <w:pStyle w:val="11"/>
      <w:lvlText w:val="%1.%2.%3.%4.%5.%6.%7.%8.%9"/>
      <w:lvlJc w:val="left"/>
      <w:pPr>
        <w:ind w:left="1136" w:firstLine="0"/>
      </w:pPr>
      <w:rPr>
        <w:rFonts w:hint="eastAsia"/>
      </w:rPr>
    </w:lvl>
  </w:abstractNum>
  <w:abstractNum w:abstractNumId="1">
    <w:nsid w:val="48937194"/>
    <w:multiLevelType w:val="multilevel"/>
    <w:tmpl w:val="489371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20"/>
  <w:drawingGridVerticalSpacing w:val="16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0FF8"/>
    <w:rsid w:val="00004755"/>
    <w:rsid w:val="0000602E"/>
    <w:rsid w:val="00006528"/>
    <w:rsid w:val="000071A3"/>
    <w:rsid w:val="00011F2F"/>
    <w:rsid w:val="000152D6"/>
    <w:rsid w:val="000166BF"/>
    <w:rsid w:val="000211F9"/>
    <w:rsid w:val="00035260"/>
    <w:rsid w:val="00035F40"/>
    <w:rsid w:val="000366A1"/>
    <w:rsid w:val="000418BB"/>
    <w:rsid w:val="00043CC2"/>
    <w:rsid w:val="000479A3"/>
    <w:rsid w:val="00053434"/>
    <w:rsid w:val="000565FD"/>
    <w:rsid w:val="00056945"/>
    <w:rsid w:val="00060882"/>
    <w:rsid w:val="00060D82"/>
    <w:rsid w:val="00063D44"/>
    <w:rsid w:val="00067CEE"/>
    <w:rsid w:val="00071457"/>
    <w:rsid w:val="000753AA"/>
    <w:rsid w:val="000A1A69"/>
    <w:rsid w:val="000A26F8"/>
    <w:rsid w:val="000A4E3D"/>
    <w:rsid w:val="000C0C07"/>
    <w:rsid w:val="000C57C8"/>
    <w:rsid w:val="000C744C"/>
    <w:rsid w:val="000D53EA"/>
    <w:rsid w:val="000E1D93"/>
    <w:rsid w:val="000E55C1"/>
    <w:rsid w:val="000E6AF1"/>
    <w:rsid w:val="000F24BB"/>
    <w:rsid w:val="000F4941"/>
    <w:rsid w:val="000F604C"/>
    <w:rsid w:val="001061D5"/>
    <w:rsid w:val="001136C0"/>
    <w:rsid w:val="00114E75"/>
    <w:rsid w:val="00120353"/>
    <w:rsid w:val="001308F5"/>
    <w:rsid w:val="0013395C"/>
    <w:rsid w:val="00133A97"/>
    <w:rsid w:val="00134A8E"/>
    <w:rsid w:val="0013787C"/>
    <w:rsid w:val="001407FF"/>
    <w:rsid w:val="0014170E"/>
    <w:rsid w:val="00142213"/>
    <w:rsid w:val="00144630"/>
    <w:rsid w:val="00151F45"/>
    <w:rsid w:val="00153077"/>
    <w:rsid w:val="001542B7"/>
    <w:rsid w:val="001550F6"/>
    <w:rsid w:val="0015683F"/>
    <w:rsid w:val="00160D21"/>
    <w:rsid w:val="00160D6E"/>
    <w:rsid w:val="00161428"/>
    <w:rsid w:val="001675BF"/>
    <w:rsid w:val="0017160B"/>
    <w:rsid w:val="00174399"/>
    <w:rsid w:val="0017787D"/>
    <w:rsid w:val="00186552"/>
    <w:rsid w:val="00186B65"/>
    <w:rsid w:val="0019110A"/>
    <w:rsid w:val="00193C76"/>
    <w:rsid w:val="00196A9D"/>
    <w:rsid w:val="001A2D7B"/>
    <w:rsid w:val="001A3AF6"/>
    <w:rsid w:val="001A4C33"/>
    <w:rsid w:val="001A4E90"/>
    <w:rsid w:val="001A5D74"/>
    <w:rsid w:val="001B09AA"/>
    <w:rsid w:val="001B188D"/>
    <w:rsid w:val="001C13A9"/>
    <w:rsid w:val="001C3A66"/>
    <w:rsid w:val="001C41ED"/>
    <w:rsid w:val="001C72EC"/>
    <w:rsid w:val="001C7D6E"/>
    <w:rsid w:val="001D2CCE"/>
    <w:rsid w:val="001D4E7A"/>
    <w:rsid w:val="001D5B44"/>
    <w:rsid w:val="001E09FE"/>
    <w:rsid w:val="001E12B8"/>
    <w:rsid w:val="001E1817"/>
    <w:rsid w:val="001E3B52"/>
    <w:rsid w:val="001E5C6C"/>
    <w:rsid w:val="001F022D"/>
    <w:rsid w:val="001F13BC"/>
    <w:rsid w:val="002059D8"/>
    <w:rsid w:val="00214EF5"/>
    <w:rsid w:val="002227E7"/>
    <w:rsid w:val="00224F70"/>
    <w:rsid w:val="002334D0"/>
    <w:rsid w:val="002421AA"/>
    <w:rsid w:val="00251600"/>
    <w:rsid w:val="002549CC"/>
    <w:rsid w:val="002555F3"/>
    <w:rsid w:val="002562AD"/>
    <w:rsid w:val="00261ECE"/>
    <w:rsid w:val="00265A28"/>
    <w:rsid w:val="0027271D"/>
    <w:rsid w:val="00273C66"/>
    <w:rsid w:val="002744E5"/>
    <w:rsid w:val="00275D78"/>
    <w:rsid w:val="00277F36"/>
    <w:rsid w:val="00281166"/>
    <w:rsid w:val="002837DD"/>
    <w:rsid w:val="00283D50"/>
    <w:rsid w:val="00284D57"/>
    <w:rsid w:val="002857EE"/>
    <w:rsid w:val="00293BA3"/>
    <w:rsid w:val="00296D90"/>
    <w:rsid w:val="002A2353"/>
    <w:rsid w:val="002A5E54"/>
    <w:rsid w:val="002B0CD7"/>
    <w:rsid w:val="002B49CA"/>
    <w:rsid w:val="002B5998"/>
    <w:rsid w:val="002B7C83"/>
    <w:rsid w:val="002C0134"/>
    <w:rsid w:val="002C1EE9"/>
    <w:rsid w:val="002C261F"/>
    <w:rsid w:val="002C52EE"/>
    <w:rsid w:val="002C5D59"/>
    <w:rsid w:val="002C7EE2"/>
    <w:rsid w:val="002D4C8C"/>
    <w:rsid w:val="002E2EA2"/>
    <w:rsid w:val="002E5EA0"/>
    <w:rsid w:val="002F5DA0"/>
    <w:rsid w:val="00302E1F"/>
    <w:rsid w:val="00303075"/>
    <w:rsid w:val="00306C5D"/>
    <w:rsid w:val="00306CEC"/>
    <w:rsid w:val="00310043"/>
    <w:rsid w:val="00321B67"/>
    <w:rsid w:val="00321CCA"/>
    <w:rsid w:val="00321EE2"/>
    <w:rsid w:val="00324CF2"/>
    <w:rsid w:val="0032685D"/>
    <w:rsid w:val="00330697"/>
    <w:rsid w:val="00337908"/>
    <w:rsid w:val="0034605C"/>
    <w:rsid w:val="003463F2"/>
    <w:rsid w:val="0036067D"/>
    <w:rsid w:val="00360761"/>
    <w:rsid w:val="00360D3B"/>
    <w:rsid w:val="00361BB5"/>
    <w:rsid w:val="003626D3"/>
    <w:rsid w:val="00371498"/>
    <w:rsid w:val="0037318D"/>
    <w:rsid w:val="003755AE"/>
    <w:rsid w:val="00377DEB"/>
    <w:rsid w:val="00383743"/>
    <w:rsid w:val="00387CA9"/>
    <w:rsid w:val="00394B16"/>
    <w:rsid w:val="00396280"/>
    <w:rsid w:val="003A023F"/>
    <w:rsid w:val="003A4C42"/>
    <w:rsid w:val="003A59D7"/>
    <w:rsid w:val="003B17FF"/>
    <w:rsid w:val="003B402E"/>
    <w:rsid w:val="003B452B"/>
    <w:rsid w:val="003B6873"/>
    <w:rsid w:val="003C0D56"/>
    <w:rsid w:val="003C1A66"/>
    <w:rsid w:val="003C2C51"/>
    <w:rsid w:val="003D0590"/>
    <w:rsid w:val="003D2D28"/>
    <w:rsid w:val="003D2DEE"/>
    <w:rsid w:val="003D577B"/>
    <w:rsid w:val="003D6123"/>
    <w:rsid w:val="003E4DA9"/>
    <w:rsid w:val="003F2B7C"/>
    <w:rsid w:val="003F69E4"/>
    <w:rsid w:val="00404D41"/>
    <w:rsid w:val="0040505C"/>
    <w:rsid w:val="00405A66"/>
    <w:rsid w:val="0040667D"/>
    <w:rsid w:val="00416C2E"/>
    <w:rsid w:val="00422209"/>
    <w:rsid w:val="004263EA"/>
    <w:rsid w:val="00436CC1"/>
    <w:rsid w:val="00442A87"/>
    <w:rsid w:val="00452437"/>
    <w:rsid w:val="00452A34"/>
    <w:rsid w:val="004532BB"/>
    <w:rsid w:val="00455635"/>
    <w:rsid w:val="00467462"/>
    <w:rsid w:val="00473786"/>
    <w:rsid w:val="00480D8A"/>
    <w:rsid w:val="004831DE"/>
    <w:rsid w:val="00487F57"/>
    <w:rsid w:val="004959D0"/>
    <w:rsid w:val="00496870"/>
    <w:rsid w:val="00497150"/>
    <w:rsid w:val="004A207C"/>
    <w:rsid w:val="004A46C9"/>
    <w:rsid w:val="004B3F2A"/>
    <w:rsid w:val="004B4106"/>
    <w:rsid w:val="004B68E0"/>
    <w:rsid w:val="004C33B5"/>
    <w:rsid w:val="004C4C98"/>
    <w:rsid w:val="004C7D91"/>
    <w:rsid w:val="004D225B"/>
    <w:rsid w:val="004D2AFD"/>
    <w:rsid w:val="004D3304"/>
    <w:rsid w:val="004D39C0"/>
    <w:rsid w:val="004D5424"/>
    <w:rsid w:val="004D791C"/>
    <w:rsid w:val="004E2C29"/>
    <w:rsid w:val="004E35DC"/>
    <w:rsid w:val="004E4B4E"/>
    <w:rsid w:val="004E5C9B"/>
    <w:rsid w:val="004E61C7"/>
    <w:rsid w:val="004F200E"/>
    <w:rsid w:val="004F4DD4"/>
    <w:rsid w:val="004F6A4B"/>
    <w:rsid w:val="0050144E"/>
    <w:rsid w:val="00504E8E"/>
    <w:rsid w:val="00506B48"/>
    <w:rsid w:val="00506FE6"/>
    <w:rsid w:val="0051060D"/>
    <w:rsid w:val="0051195F"/>
    <w:rsid w:val="0051305E"/>
    <w:rsid w:val="00515BCB"/>
    <w:rsid w:val="00517925"/>
    <w:rsid w:val="00524E3B"/>
    <w:rsid w:val="005269BC"/>
    <w:rsid w:val="00530493"/>
    <w:rsid w:val="005320E1"/>
    <w:rsid w:val="0053253F"/>
    <w:rsid w:val="00532715"/>
    <w:rsid w:val="00534407"/>
    <w:rsid w:val="00537B7B"/>
    <w:rsid w:val="00542BC0"/>
    <w:rsid w:val="005454E2"/>
    <w:rsid w:val="00553E6F"/>
    <w:rsid w:val="005560C5"/>
    <w:rsid w:val="00563180"/>
    <w:rsid w:val="00563847"/>
    <w:rsid w:val="00565CB1"/>
    <w:rsid w:val="005727B1"/>
    <w:rsid w:val="0057402F"/>
    <w:rsid w:val="00582E69"/>
    <w:rsid w:val="005937F3"/>
    <w:rsid w:val="005A3AAE"/>
    <w:rsid w:val="005B69D0"/>
    <w:rsid w:val="005C0AB8"/>
    <w:rsid w:val="005C0D77"/>
    <w:rsid w:val="005C21DE"/>
    <w:rsid w:val="005C54C6"/>
    <w:rsid w:val="005C7F24"/>
    <w:rsid w:val="005D1EA4"/>
    <w:rsid w:val="005D6431"/>
    <w:rsid w:val="005D71ED"/>
    <w:rsid w:val="005E1E77"/>
    <w:rsid w:val="005E407E"/>
    <w:rsid w:val="005E628E"/>
    <w:rsid w:val="005E6959"/>
    <w:rsid w:val="005F3EB6"/>
    <w:rsid w:val="005F4410"/>
    <w:rsid w:val="0061417C"/>
    <w:rsid w:val="0061560B"/>
    <w:rsid w:val="00616DA3"/>
    <w:rsid w:val="00621240"/>
    <w:rsid w:val="00622080"/>
    <w:rsid w:val="00624521"/>
    <w:rsid w:val="0062454B"/>
    <w:rsid w:val="00624FE6"/>
    <w:rsid w:val="00626A9F"/>
    <w:rsid w:val="006272BC"/>
    <w:rsid w:val="00632889"/>
    <w:rsid w:val="00634E01"/>
    <w:rsid w:val="00640187"/>
    <w:rsid w:val="00644EFB"/>
    <w:rsid w:val="00645E69"/>
    <w:rsid w:val="00647497"/>
    <w:rsid w:val="006524DC"/>
    <w:rsid w:val="0066206E"/>
    <w:rsid w:val="0066291C"/>
    <w:rsid w:val="006644A2"/>
    <w:rsid w:val="00665CC5"/>
    <w:rsid w:val="00667B1A"/>
    <w:rsid w:val="00671737"/>
    <w:rsid w:val="00674A5B"/>
    <w:rsid w:val="0067522F"/>
    <w:rsid w:val="00677B89"/>
    <w:rsid w:val="00691247"/>
    <w:rsid w:val="006924B4"/>
    <w:rsid w:val="00697E6D"/>
    <w:rsid w:val="006A42CC"/>
    <w:rsid w:val="006A4649"/>
    <w:rsid w:val="006A7BF6"/>
    <w:rsid w:val="006B038D"/>
    <w:rsid w:val="006B205E"/>
    <w:rsid w:val="006B7949"/>
    <w:rsid w:val="006C1236"/>
    <w:rsid w:val="006C1727"/>
    <w:rsid w:val="006C3B1E"/>
    <w:rsid w:val="006C5865"/>
    <w:rsid w:val="006C688E"/>
    <w:rsid w:val="006C6ED1"/>
    <w:rsid w:val="006D429B"/>
    <w:rsid w:val="006D56E6"/>
    <w:rsid w:val="006E1EC7"/>
    <w:rsid w:val="006E66CD"/>
    <w:rsid w:val="006F08F4"/>
    <w:rsid w:val="006F64A3"/>
    <w:rsid w:val="00704654"/>
    <w:rsid w:val="00705AF6"/>
    <w:rsid w:val="007060CA"/>
    <w:rsid w:val="00710B64"/>
    <w:rsid w:val="00712E0A"/>
    <w:rsid w:val="00713157"/>
    <w:rsid w:val="00720228"/>
    <w:rsid w:val="007223DF"/>
    <w:rsid w:val="00722CA3"/>
    <w:rsid w:val="007249E1"/>
    <w:rsid w:val="007277F1"/>
    <w:rsid w:val="007311C3"/>
    <w:rsid w:val="00740636"/>
    <w:rsid w:val="0074162A"/>
    <w:rsid w:val="0074200F"/>
    <w:rsid w:val="007450DB"/>
    <w:rsid w:val="00753600"/>
    <w:rsid w:val="00753C06"/>
    <w:rsid w:val="007541AF"/>
    <w:rsid w:val="00754293"/>
    <w:rsid w:val="00772BDD"/>
    <w:rsid w:val="00772F24"/>
    <w:rsid w:val="007751C2"/>
    <w:rsid w:val="00781649"/>
    <w:rsid w:val="007848D4"/>
    <w:rsid w:val="00785175"/>
    <w:rsid w:val="00790894"/>
    <w:rsid w:val="00790A9C"/>
    <w:rsid w:val="00790BD2"/>
    <w:rsid w:val="00791371"/>
    <w:rsid w:val="00793088"/>
    <w:rsid w:val="007936F7"/>
    <w:rsid w:val="00793914"/>
    <w:rsid w:val="00795117"/>
    <w:rsid w:val="007A1F9C"/>
    <w:rsid w:val="007A317C"/>
    <w:rsid w:val="007A6BFB"/>
    <w:rsid w:val="007A767D"/>
    <w:rsid w:val="007A7F4B"/>
    <w:rsid w:val="007B0EC4"/>
    <w:rsid w:val="007B28C0"/>
    <w:rsid w:val="007B391B"/>
    <w:rsid w:val="007B5BF4"/>
    <w:rsid w:val="007B617C"/>
    <w:rsid w:val="007C1807"/>
    <w:rsid w:val="007E51FB"/>
    <w:rsid w:val="007E742B"/>
    <w:rsid w:val="007F2CFC"/>
    <w:rsid w:val="007F626F"/>
    <w:rsid w:val="00801CB0"/>
    <w:rsid w:val="00801CD0"/>
    <w:rsid w:val="008025A1"/>
    <w:rsid w:val="00802C04"/>
    <w:rsid w:val="0081648D"/>
    <w:rsid w:val="00817759"/>
    <w:rsid w:val="00833004"/>
    <w:rsid w:val="00841C24"/>
    <w:rsid w:val="00844113"/>
    <w:rsid w:val="0085039E"/>
    <w:rsid w:val="0085172C"/>
    <w:rsid w:val="00852851"/>
    <w:rsid w:val="00852BC7"/>
    <w:rsid w:val="008751C1"/>
    <w:rsid w:val="00884D4E"/>
    <w:rsid w:val="00886ED6"/>
    <w:rsid w:val="00890288"/>
    <w:rsid w:val="00890524"/>
    <w:rsid w:val="00894F37"/>
    <w:rsid w:val="008A152B"/>
    <w:rsid w:val="008B0E48"/>
    <w:rsid w:val="008B12A2"/>
    <w:rsid w:val="008B1455"/>
    <w:rsid w:val="008B22DA"/>
    <w:rsid w:val="008B2360"/>
    <w:rsid w:val="008B51DD"/>
    <w:rsid w:val="008B5B1A"/>
    <w:rsid w:val="008B5C71"/>
    <w:rsid w:val="008C0B82"/>
    <w:rsid w:val="008C2090"/>
    <w:rsid w:val="008C41BC"/>
    <w:rsid w:val="008C52DE"/>
    <w:rsid w:val="008C53BC"/>
    <w:rsid w:val="008C5A99"/>
    <w:rsid w:val="008C7FC6"/>
    <w:rsid w:val="008D1ED1"/>
    <w:rsid w:val="008D4068"/>
    <w:rsid w:val="008D56CF"/>
    <w:rsid w:val="008D7994"/>
    <w:rsid w:val="008E0137"/>
    <w:rsid w:val="008E183C"/>
    <w:rsid w:val="008E1DEC"/>
    <w:rsid w:val="008E29A0"/>
    <w:rsid w:val="008E5DF3"/>
    <w:rsid w:val="008E727C"/>
    <w:rsid w:val="008E72B6"/>
    <w:rsid w:val="008E7806"/>
    <w:rsid w:val="008F29C1"/>
    <w:rsid w:val="008F30B1"/>
    <w:rsid w:val="008F5AFE"/>
    <w:rsid w:val="008F6F89"/>
    <w:rsid w:val="00900309"/>
    <w:rsid w:val="0090039C"/>
    <w:rsid w:val="00906562"/>
    <w:rsid w:val="009202AF"/>
    <w:rsid w:val="00921C63"/>
    <w:rsid w:val="00926C96"/>
    <w:rsid w:val="00932914"/>
    <w:rsid w:val="00937610"/>
    <w:rsid w:val="00940A5B"/>
    <w:rsid w:val="00941D73"/>
    <w:rsid w:val="0094342C"/>
    <w:rsid w:val="00943525"/>
    <w:rsid w:val="00951F5D"/>
    <w:rsid w:val="00953B32"/>
    <w:rsid w:val="00955539"/>
    <w:rsid w:val="0096118B"/>
    <w:rsid w:val="009615E5"/>
    <w:rsid w:val="009649E9"/>
    <w:rsid w:val="00967C71"/>
    <w:rsid w:val="00970CE0"/>
    <w:rsid w:val="00972BE9"/>
    <w:rsid w:val="00973407"/>
    <w:rsid w:val="00974211"/>
    <w:rsid w:val="00976CF0"/>
    <w:rsid w:val="00977096"/>
    <w:rsid w:val="00987529"/>
    <w:rsid w:val="00995C98"/>
    <w:rsid w:val="009964AD"/>
    <w:rsid w:val="0099658C"/>
    <w:rsid w:val="00996A17"/>
    <w:rsid w:val="009973AA"/>
    <w:rsid w:val="00997D5F"/>
    <w:rsid w:val="009A4134"/>
    <w:rsid w:val="009A4220"/>
    <w:rsid w:val="009A4234"/>
    <w:rsid w:val="009A7060"/>
    <w:rsid w:val="009B4071"/>
    <w:rsid w:val="009B5259"/>
    <w:rsid w:val="009B6896"/>
    <w:rsid w:val="009B7C01"/>
    <w:rsid w:val="009C0B46"/>
    <w:rsid w:val="009C4CBF"/>
    <w:rsid w:val="009C737E"/>
    <w:rsid w:val="009D17F5"/>
    <w:rsid w:val="009D418A"/>
    <w:rsid w:val="009D52A5"/>
    <w:rsid w:val="009D5C94"/>
    <w:rsid w:val="009E71CC"/>
    <w:rsid w:val="009E7F9C"/>
    <w:rsid w:val="009F1BC2"/>
    <w:rsid w:val="009F47ED"/>
    <w:rsid w:val="009F4A63"/>
    <w:rsid w:val="00A02798"/>
    <w:rsid w:val="00A02F8C"/>
    <w:rsid w:val="00A05DDC"/>
    <w:rsid w:val="00A07771"/>
    <w:rsid w:val="00A07CE3"/>
    <w:rsid w:val="00A100CD"/>
    <w:rsid w:val="00A10B79"/>
    <w:rsid w:val="00A12712"/>
    <w:rsid w:val="00A324CB"/>
    <w:rsid w:val="00A35D9A"/>
    <w:rsid w:val="00A4567A"/>
    <w:rsid w:val="00A476B1"/>
    <w:rsid w:val="00A56956"/>
    <w:rsid w:val="00A60167"/>
    <w:rsid w:val="00A62E2D"/>
    <w:rsid w:val="00A64540"/>
    <w:rsid w:val="00A6746C"/>
    <w:rsid w:val="00A74425"/>
    <w:rsid w:val="00A75B11"/>
    <w:rsid w:val="00A76562"/>
    <w:rsid w:val="00A765B5"/>
    <w:rsid w:val="00A76953"/>
    <w:rsid w:val="00A82371"/>
    <w:rsid w:val="00A82EDF"/>
    <w:rsid w:val="00A840F2"/>
    <w:rsid w:val="00A91374"/>
    <w:rsid w:val="00A91C9A"/>
    <w:rsid w:val="00A92A02"/>
    <w:rsid w:val="00AA204C"/>
    <w:rsid w:val="00AA56D7"/>
    <w:rsid w:val="00AA5E01"/>
    <w:rsid w:val="00AA7010"/>
    <w:rsid w:val="00AB167D"/>
    <w:rsid w:val="00AB50A1"/>
    <w:rsid w:val="00AC0529"/>
    <w:rsid w:val="00AC086E"/>
    <w:rsid w:val="00AC7EF8"/>
    <w:rsid w:val="00AD34BE"/>
    <w:rsid w:val="00AD43BB"/>
    <w:rsid w:val="00AE42E8"/>
    <w:rsid w:val="00AF127F"/>
    <w:rsid w:val="00AF4147"/>
    <w:rsid w:val="00B04CD1"/>
    <w:rsid w:val="00B05D8B"/>
    <w:rsid w:val="00B26A5F"/>
    <w:rsid w:val="00B2783F"/>
    <w:rsid w:val="00B313E8"/>
    <w:rsid w:val="00B31E02"/>
    <w:rsid w:val="00B369CE"/>
    <w:rsid w:val="00B37B65"/>
    <w:rsid w:val="00B409A3"/>
    <w:rsid w:val="00B40CFB"/>
    <w:rsid w:val="00B47947"/>
    <w:rsid w:val="00B51DFB"/>
    <w:rsid w:val="00B52A1D"/>
    <w:rsid w:val="00B53CB8"/>
    <w:rsid w:val="00B619AC"/>
    <w:rsid w:val="00B71B90"/>
    <w:rsid w:val="00B74F2C"/>
    <w:rsid w:val="00B75A80"/>
    <w:rsid w:val="00B76933"/>
    <w:rsid w:val="00B87F5D"/>
    <w:rsid w:val="00B91642"/>
    <w:rsid w:val="00B9272B"/>
    <w:rsid w:val="00BA130E"/>
    <w:rsid w:val="00BA3B2F"/>
    <w:rsid w:val="00BA7234"/>
    <w:rsid w:val="00BB0231"/>
    <w:rsid w:val="00BB0A4D"/>
    <w:rsid w:val="00BB33D7"/>
    <w:rsid w:val="00BB4BAF"/>
    <w:rsid w:val="00BB75C5"/>
    <w:rsid w:val="00BC125C"/>
    <w:rsid w:val="00BC3E69"/>
    <w:rsid w:val="00BC7E23"/>
    <w:rsid w:val="00BD4583"/>
    <w:rsid w:val="00BD60E1"/>
    <w:rsid w:val="00BD7AFD"/>
    <w:rsid w:val="00BE0B0E"/>
    <w:rsid w:val="00BE1B26"/>
    <w:rsid w:val="00BE4B34"/>
    <w:rsid w:val="00BE7269"/>
    <w:rsid w:val="00BE7EB7"/>
    <w:rsid w:val="00BF20F8"/>
    <w:rsid w:val="00BF2E01"/>
    <w:rsid w:val="00BF6461"/>
    <w:rsid w:val="00C00195"/>
    <w:rsid w:val="00C018D9"/>
    <w:rsid w:val="00C17348"/>
    <w:rsid w:val="00C232C3"/>
    <w:rsid w:val="00C25E3A"/>
    <w:rsid w:val="00C26487"/>
    <w:rsid w:val="00C3205A"/>
    <w:rsid w:val="00C354CB"/>
    <w:rsid w:val="00C358D6"/>
    <w:rsid w:val="00C35940"/>
    <w:rsid w:val="00C42A42"/>
    <w:rsid w:val="00C43C6D"/>
    <w:rsid w:val="00C44EF0"/>
    <w:rsid w:val="00C45FF9"/>
    <w:rsid w:val="00C467EB"/>
    <w:rsid w:val="00C46CC6"/>
    <w:rsid w:val="00C51E12"/>
    <w:rsid w:val="00C526F1"/>
    <w:rsid w:val="00C612B3"/>
    <w:rsid w:val="00C63DAA"/>
    <w:rsid w:val="00C708B8"/>
    <w:rsid w:val="00C763D9"/>
    <w:rsid w:val="00C77019"/>
    <w:rsid w:val="00C77C54"/>
    <w:rsid w:val="00C80D2B"/>
    <w:rsid w:val="00C81831"/>
    <w:rsid w:val="00C9085B"/>
    <w:rsid w:val="00C920FE"/>
    <w:rsid w:val="00C92FCF"/>
    <w:rsid w:val="00C93CD4"/>
    <w:rsid w:val="00C94899"/>
    <w:rsid w:val="00CA3C24"/>
    <w:rsid w:val="00CC63FB"/>
    <w:rsid w:val="00CD3A8A"/>
    <w:rsid w:val="00CD5373"/>
    <w:rsid w:val="00CE3904"/>
    <w:rsid w:val="00CE5A33"/>
    <w:rsid w:val="00CF2A00"/>
    <w:rsid w:val="00CF6CCB"/>
    <w:rsid w:val="00D0226C"/>
    <w:rsid w:val="00D03764"/>
    <w:rsid w:val="00D04FE6"/>
    <w:rsid w:val="00D10FBD"/>
    <w:rsid w:val="00D128BD"/>
    <w:rsid w:val="00D13097"/>
    <w:rsid w:val="00D16491"/>
    <w:rsid w:val="00D215F5"/>
    <w:rsid w:val="00D21E44"/>
    <w:rsid w:val="00D24D3E"/>
    <w:rsid w:val="00D25F91"/>
    <w:rsid w:val="00D304AA"/>
    <w:rsid w:val="00D32CED"/>
    <w:rsid w:val="00D37B27"/>
    <w:rsid w:val="00D469EF"/>
    <w:rsid w:val="00D51DAB"/>
    <w:rsid w:val="00D5598D"/>
    <w:rsid w:val="00D60597"/>
    <w:rsid w:val="00D61231"/>
    <w:rsid w:val="00D67830"/>
    <w:rsid w:val="00D74801"/>
    <w:rsid w:val="00D7681D"/>
    <w:rsid w:val="00D77D57"/>
    <w:rsid w:val="00D83083"/>
    <w:rsid w:val="00D91120"/>
    <w:rsid w:val="00D9202E"/>
    <w:rsid w:val="00D93422"/>
    <w:rsid w:val="00D95ADE"/>
    <w:rsid w:val="00DA5B4D"/>
    <w:rsid w:val="00DA75DC"/>
    <w:rsid w:val="00DA7E69"/>
    <w:rsid w:val="00DB0A1D"/>
    <w:rsid w:val="00DB1FAB"/>
    <w:rsid w:val="00DB3AA4"/>
    <w:rsid w:val="00DC1645"/>
    <w:rsid w:val="00DC1A75"/>
    <w:rsid w:val="00DD3021"/>
    <w:rsid w:val="00DE676A"/>
    <w:rsid w:val="00DE7A7D"/>
    <w:rsid w:val="00DF2378"/>
    <w:rsid w:val="00DF66D5"/>
    <w:rsid w:val="00E01892"/>
    <w:rsid w:val="00E021FC"/>
    <w:rsid w:val="00E02600"/>
    <w:rsid w:val="00E04205"/>
    <w:rsid w:val="00E10F6E"/>
    <w:rsid w:val="00E111F5"/>
    <w:rsid w:val="00E11EEC"/>
    <w:rsid w:val="00E13322"/>
    <w:rsid w:val="00E214D3"/>
    <w:rsid w:val="00E2251E"/>
    <w:rsid w:val="00E23A67"/>
    <w:rsid w:val="00E27E32"/>
    <w:rsid w:val="00E3009A"/>
    <w:rsid w:val="00E36AA6"/>
    <w:rsid w:val="00E466F8"/>
    <w:rsid w:val="00E50031"/>
    <w:rsid w:val="00E5041D"/>
    <w:rsid w:val="00E50B8C"/>
    <w:rsid w:val="00E54B25"/>
    <w:rsid w:val="00E679D3"/>
    <w:rsid w:val="00E70228"/>
    <w:rsid w:val="00E70E23"/>
    <w:rsid w:val="00E712D9"/>
    <w:rsid w:val="00E744A0"/>
    <w:rsid w:val="00E760B5"/>
    <w:rsid w:val="00E766F1"/>
    <w:rsid w:val="00E81074"/>
    <w:rsid w:val="00E818DC"/>
    <w:rsid w:val="00E868BC"/>
    <w:rsid w:val="00E86B92"/>
    <w:rsid w:val="00E91C14"/>
    <w:rsid w:val="00E96CAD"/>
    <w:rsid w:val="00EA210B"/>
    <w:rsid w:val="00EA2BB9"/>
    <w:rsid w:val="00EA6B01"/>
    <w:rsid w:val="00EA7B3E"/>
    <w:rsid w:val="00EB05FF"/>
    <w:rsid w:val="00EC1E54"/>
    <w:rsid w:val="00EC29BF"/>
    <w:rsid w:val="00EC2AE6"/>
    <w:rsid w:val="00EC2C53"/>
    <w:rsid w:val="00EC434F"/>
    <w:rsid w:val="00EC7568"/>
    <w:rsid w:val="00ED3C1E"/>
    <w:rsid w:val="00EE1F61"/>
    <w:rsid w:val="00EE31EC"/>
    <w:rsid w:val="00EE4C01"/>
    <w:rsid w:val="00EE6EB4"/>
    <w:rsid w:val="00EF1703"/>
    <w:rsid w:val="00EF6CF9"/>
    <w:rsid w:val="00F04292"/>
    <w:rsid w:val="00F05082"/>
    <w:rsid w:val="00F10459"/>
    <w:rsid w:val="00F20809"/>
    <w:rsid w:val="00F230C8"/>
    <w:rsid w:val="00F2389B"/>
    <w:rsid w:val="00F26B47"/>
    <w:rsid w:val="00F31BA1"/>
    <w:rsid w:val="00F33D6D"/>
    <w:rsid w:val="00F3721F"/>
    <w:rsid w:val="00F378E4"/>
    <w:rsid w:val="00F37FF1"/>
    <w:rsid w:val="00F4303A"/>
    <w:rsid w:val="00F47D84"/>
    <w:rsid w:val="00F5036B"/>
    <w:rsid w:val="00F514DC"/>
    <w:rsid w:val="00F523DB"/>
    <w:rsid w:val="00F5326C"/>
    <w:rsid w:val="00F5471D"/>
    <w:rsid w:val="00F579F1"/>
    <w:rsid w:val="00F62113"/>
    <w:rsid w:val="00F64BA4"/>
    <w:rsid w:val="00F6580B"/>
    <w:rsid w:val="00F65FF0"/>
    <w:rsid w:val="00F70FF3"/>
    <w:rsid w:val="00F71350"/>
    <w:rsid w:val="00F94D57"/>
    <w:rsid w:val="00F97124"/>
    <w:rsid w:val="00FA26FE"/>
    <w:rsid w:val="00FA3DFE"/>
    <w:rsid w:val="00FA3EB1"/>
    <w:rsid w:val="00FA4A52"/>
    <w:rsid w:val="00FA7138"/>
    <w:rsid w:val="00FB40CB"/>
    <w:rsid w:val="00FD08E5"/>
    <w:rsid w:val="00FD44DF"/>
    <w:rsid w:val="00FE0FAB"/>
    <w:rsid w:val="00FE2177"/>
    <w:rsid w:val="00FE31E1"/>
    <w:rsid w:val="00FE3FB3"/>
    <w:rsid w:val="00FE642E"/>
    <w:rsid w:val="00FF1639"/>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 w:val="FFBFE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7"/>
        <o:r id="V:Rule2" type="connector" idref="#AutoShape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pageBreakBefore/>
      <w:numPr>
        <w:ilvl w:val="0"/>
        <w:numId w:val="1"/>
      </w:numPr>
      <w:tabs>
        <w:tab w:val="left" w:pos="420"/>
      </w:tabs>
      <w:spacing w:beforeLines="50" w:afterLines="50"/>
      <w:ind w:firstLineChars="0"/>
      <w:jc w:val="center"/>
      <w:outlineLvl w:val="0"/>
    </w:pPr>
    <w:rPr>
      <w:b/>
      <w:kern w:val="44"/>
      <w:sz w:val="32"/>
    </w:rPr>
  </w:style>
  <w:style w:type="paragraph" w:styleId="3">
    <w:name w:val="heading 2"/>
    <w:basedOn w:val="1"/>
    <w:next w:val="1"/>
    <w:qFormat/>
    <w:uiPriority w:val="0"/>
    <w:pPr>
      <w:keepNext/>
      <w:keepLines/>
      <w:numPr>
        <w:ilvl w:val="1"/>
        <w:numId w:val="1"/>
      </w:numPr>
      <w:tabs>
        <w:tab w:val="left" w:pos="420"/>
      </w:tabs>
      <w:spacing w:beforeLines="50" w:afterLines="50"/>
      <w:ind w:left="142" w:firstLineChars="0"/>
      <w:outlineLvl w:val="1"/>
    </w:pPr>
    <w:rPr>
      <w:b/>
      <w:sz w:val="30"/>
    </w:rPr>
  </w:style>
  <w:style w:type="paragraph" w:styleId="4">
    <w:name w:val="heading 3"/>
    <w:basedOn w:val="1"/>
    <w:next w:val="1"/>
    <w:qFormat/>
    <w:uiPriority w:val="0"/>
    <w:pPr>
      <w:keepNext/>
      <w:keepLines/>
      <w:numPr>
        <w:ilvl w:val="2"/>
        <w:numId w:val="1"/>
      </w:numPr>
      <w:tabs>
        <w:tab w:val="left" w:pos="420"/>
      </w:tabs>
      <w:spacing w:beforeLines="50" w:afterLines="50"/>
      <w:ind w:left="284" w:firstLineChars="0"/>
      <w:outlineLvl w:val="2"/>
    </w:pPr>
    <w:rPr>
      <w:b/>
      <w:sz w:val="28"/>
    </w:rPr>
  </w:style>
  <w:style w:type="paragraph" w:styleId="5">
    <w:name w:val="heading 4"/>
    <w:basedOn w:val="1"/>
    <w:next w:val="1"/>
    <w:qFormat/>
    <w:uiPriority w:val="0"/>
    <w:pPr>
      <w:keepNext/>
      <w:keepLines/>
      <w:numPr>
        <w:ilvl w:val="3"/>
        <w:numId w:val="1"/>
      </w:numPr>
      <w:tabs>
        <w:tab w:val="left" w:pos="420"/>
      </w:tabs>
      <w:spacing w:beforeLines="50" w:afterLines="50"/>
      <w:ind w:firstLineChars="0"/>
      <w:outlineLvl w:val="3"/>
    </w:pPr>
    <w:rPr>
      <w:b/>
    </w:rPr>
  </w:style>
  <w:style w:type="paragraph" w:styleId="6">
    <w:name w:val="heading 5"/>
    <w:basedOn w:val="1"/>
    <w:next w:val="1"/>
    <w:link w:val="28"/>
    <w:qFormat/>
    <w:uiPriority w:val="0"/>
    <w:pPr>
      <w:keepNext/>
      <w:keepLines/>
      <w:numPr>
        <w:ilvl w:val="4"/>
        <w:numId w:val="1"/>
      </w:numPr>
      <w:spacing w:line="240" w:lineRule="auto"/>
      <w:ind w:firstLineChars="0"/>
      <w:jc w:val="center"/>
      <w:outlineLvl w:val="4"/>
    </w:pPr>
    <w:rPr>
      <w:b/>
      <w:sz w:val="21"/>
    </w:rPr>
  </w:style>
  <w:style w:type="paragraph" w:styleId="7">
    <w:name w:val="heading 6"/>
    <w:basedOn w:val="1"/>
    <w:next w:val="8"/>
    <w:link w:val="29"/>
    <w:qFormat/>
    <w:uiPriority w:val="0"/>
    <w:pPr>
      <w:keepNext/>
      <w:keepLines/>
      <w:numPr>
        <w:ilvl w:val="5"/>
        <w:numId w:val="1"/>
      </w:numPr>
      <w:spacing w:line="240" w:lineRule="auto"/>
      <w:ind w:firstLineChars="0"/>
      <w:jc w:val="center"/>
      <w:outlineLvl w:val="5"/>
    </w:pPr>
    <w:rPr>
      <w:b/>
      <w:sz w:val="21"/>
      <w:szCs w:val="21"/>
    </w:rPr>
  </w:style>
  <w:style w:type="paragraph" w:styleId="9">
    <w:name w:val="heading 7"/>
    <w:basedOn w:val="1"/>
    <w:next w:val="1"/>
    <w:qFormat/>
    <w:uiPriority w:val="0"/>
    <w:pPr>
      <w:keepNext/>
      <w:keepLines/>
      <w:numPr>
        <w:ilvl w:val="6"/>
        <w:numId w:val="1"/>
      </w:numPr>
      <w:spacing w:before="240" w:after="64" w:line="317" w:lineRule="auto"/>
      <w:ind w:firstLineChars="0"/>
      <w:outlineLvl w:val="6"/>
    </w:pPr>
    <w:rPr>
      <w:b/>
    </w:rPr>
  </w:style>
  <w:style w:type="paragraph" w:styleId="10">
    <w:name w:val="heading 8"/>
    <w:basedOn w:val="1"/>
    <w:next w:val="1"/>
    <w:qFormat/>
    <w:uiPriority w:val="0"/>
    <w:pPr>
      <w:keepNext/>
      <w:keepLines/>
      <w:numPr>
        <w:ilvl w:val="7"/>
        <w:numId w:val="1"/>
      </w:numPr>
      <w:spacing w:before="240" w:after="64" w:line="317" w:lineRule="auto"/>
      <w:ind w:firstLineChars="0"/>
      <w:outlineLvl w:val="7"/>
    </w:pPr>
    <w:rPr>
      <w:rFonts w:ascii="Arial" w:hAnsi="Arial" w:eastAsia="黑体"/>
    </w:rPr>
  </w:style>
  <w:style w:type="paragraph" w:styleId="11">
    <w:name w:val="heading 9"/>
    <w:basedOn w:val="1"/>
    <w:next w:val="1"/>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List"/>
    <w:basedOn w:val="1"/>
    <w:qFormat/>
    <w:uiPriority w:val="0"/>
    <w:pPr>
      <w:ind w:left="200" w:hanging="200" w:hangingChars="200"/>
    </w:pPr>
  </w:style>
  <w:style w:type="paragraph" w:styleId="12">
    <w:name w:val="caption"/>
    <w:basedOn w:val="1"/>
    <w:next w:val="1"/>
    <w:qFormat/>
    <w:uiPriority w:val="0"/>
    <w:pPr>
      <w:ind w:firstLine="0" w:firstLineChars="0"/>
      <w:jc w:val="center"/>
    </w:pPr>
    <w:rPr>
      <w:b/>
      <w:sz w:val="21"/>
      <w:szCs w:val="21"/>
    </w:rPr>
  </w:style>
  <w:style w:type="paragraph" w:styleId="13">
    <w:name w:val="Document Map"/>
    <w:basedOn w:val="1"/>
    <w:link w:val="37"/>
    <w:qFormat/>
    <w:uiPriority w:val="0"/>
    <w:rPr>
      <w:rFonts w:ascii="宋体"/>
      <w:sz w:val="18"/>
      <w:szCs w:val="18"/>
    </w:rPr>
  </w:style>
  <w:style w:type="paragraph" w:styleId="14">
    <w:name w:val="Body Text"/>
    <w:basedOn w:val="1"/>
    <w:qFormat/>
    <w:uiPriority w:val="0"/>
    <w:pPr>
      <w:spacing w:line="180" w:lineRule="auto"/>
      <w:ind w:firstLine="200"/>
    </w:pPr>
    <w:rPr>
      <w:spacing w:val="8"/>
      <w:sz w:val="28"/>
    </w:rPr>
  </w:style>
  <w:style w:type="paragraph" w:styleId="15">
    <w:name w:val="Body Text Indent"/>
    <w:basedOn w:val="1"/>
    <w:link w:val="31"/>
    <w:qFormat/>
    <w:uiPriority w:val="0"/>
    <w:pPr>
      <w:spacing w:after="120"/>
      <w:ind w:left="420" w:leftChars="200"/>
    </w:pPr>
  </w:style>
  <w:style w:type="paragraph" w:styleId="16">
    <w:name w:val="Plain Text"/>
    <w:basedOn w:val="1"/>
    <w:link w:val="34"/>
    <w:qFormat/>
    <w:uiPriority w:val="0"/>
    <w:pPr>
      <w:spacing w:line="240" w:lineRule="auto"/>
      <w:ind w:firstLine="0" w:firstLineChars="0"/>
      <w:jc w:val="both"/>
    </w:pPr>
    <w:rPr>
      <w:rFonts w:ascii="宋体" w:hAnsi="Courier New"/>
      <w:sz w:val="21"/>
      <w:szCs w:val="20"/>
    </w:rPr>
  </w:style>
  <w:style w:type="paragraph" w:styleId="17">
    <w:name w:val="Date"/>
    <w:basedOn w:val="1"/>
    <w:next w:val="1"/>
    <w:link w:val="36"/>
    <w:qFormat/>
    <w:uiPriority w:val="0"/>
    <w:pPr>
      <w:ind w:left="100" w:leftChars="2500"/>
    </w:pPr>
  </w:style>
  <w:style w:type="paragraph" w:styleId="18">
    <w:name w:val="Body Text Indent 2"/>
    <w:basedOn w:val="1"/>
    <w:link w:val="33"/>
    <w:qFormat/>
    <w:uiPriority w:val="0"/>
    <w:pPr>
      <w:spacing w:after="120" w:line="480" w:lineRule="auto"/>
      <w:ind w:left="420" w:leftChars="200"/>
    </w:pPr>
  </w:style>
  <w:style w:type="paragraph" w:styleId="19">
    <w:name w:val="Balloon Text"/>
    <w:basedOn w:val="1"/>
    <w:link w:val="32"/>
    <w:qFormat/>
    <w:uiPriority w:val="0"/>
    <w:pPr>
      <w:spacing w:line="240" w:lineRule="auto"/>
    </w:pPr>
    <w:rPr>
      <w:sz w:val="18"/>
      <w:szCs w:val="18"/>
    </w:rPr>
  </w:style>
  <w:style w:type="paragraph" w:styleId="20">
    <w:name w:val="footer"/>
    <w:basedOn w:val="1"/>
    <w:qFormat/>
    <w:uiPriority w:val="0"/>
    <w:pPr>
      <w:tabs>
        <w:tab w:val="center" w:pos="4153"/>
        <w:tab w:val="right" w:pos="8306"/>
      </w:tabs>
      <w:snapToGrid w:val="0"/>
      <w:ind w:firstLine="0" w:firstLineChars="0"/>
    </w:pPr>
    <w:rPr>
      <w:sz w:val="21"/>
      <w:szCs w:val="21"/>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pPr>
    <w:rPr>
      <w:sz w:val="18"/>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customStyle="1" w:styleId="28">
    <w:name w:val="标题 5 Char"/>
    <w:link w:val="6"/>
    <w:qFormat/>
    <w:uiPriority w:val="0"/>
    <w:rPr>
      <w:rFonts w:ascii="Times New Roman" w:hAnsi="Times New Roman"/>
      <w:b/>
      <w:kern w:val="2"/>
      <w:sz w:val="21"/>
      <w:szCs w:val="24"/>
    </w:rPr>
  </w:style>
  <w:style w:type="character" w:customStyle="1" w:styleId="29">
    <w:name w:val="标题 6 Char"/>
    <w:link w:val="7"/>
    <w:qFormat/>
    <w:uiPriority w:val="0"/>
    <w:rPr>
      <w:rFonts w:ascii="Times New Roman" w:hAnsi="Times New Roman"/>
      <w:b/>
      <w:kern w:val="2"/>
      <w:sz w:val="21"/>
      <w:szCs w:val="21"/>
    </w:rPr>
  </w:style>
  <w:style w:type="paragraph" w:customStyle="1" w:styleId="30">
    <w:name w:val="表格(居中)"/>
    <w:basedOn w:val="1"/>
    <w:qFormat/>
    <w:uiPriority w:val="0"/>
    <w:pPr>
      <w:adjustRightInd w:val="0"/>
      <w:snapToGrid w:val="0"/>
      <w:spacing w:line="0" w:lineRule="atLeast"/>
      <w:ind w:firstLine="0" w:firstLineChars="0"/>
      <w:jc w:val="center"/>
    </w:pPr>
    <w:rPr>
      <w:sz w:val="18"/>
      <w:szCs w:val="18"/>
    </w:rPr>
  </w:style>
  <w:style w:type="character" w:customStyle="1" w:styleId="31">
    <w:name w:val="正文文本缩进 Char"/>
    <w:link w:val="15"/>
    <w:qFormat/>
    <w:uiPriority w:val="0"/>
    <w:rPr>
      <w:rFonts w:ascii="Times New Roman" w:hAnsi="Times New Roman"/>
      <w:kern w:val="2"/>
      <w:sz w:val="24"/>
      <w:szCs w:val="24"/>
    </w:rPr>
  </w:style>
  <w:style w:type="character" w:customStyle="1" w:styleId="32">
    <w:name w:val="批注框文本 Char"/>
    <w:link w:val="19"/>
    <w:qFormat/>
    <w:uiPriority w:val="0"/>
    <w:rPr>
      <w:rFonts w:ascii="Times New Roman" w:hAnsi="Times New Roman"/>
      <w:kern w:val="2"/>
      <w:sz w:val="18"/>
      <w:szCs w:val="18"/>
    </w:rPr>
  </w:style>
  <w:style w:type="character" w:customStyle="1" w:styleId="33">
    <w:name w:val="正文文本缩进 2 Char"/>
    <w:basedOn w:val="26"/>
    <w:link w:val="18"/>
    <w:qFormat/>
    <w:uiPriority w:val="0"/>
    <w:rPr>
      <w:rFonts w:ascii="Times New Roman" w:hAnsi="Times New Roman"/>
      <w:kern w:val="2"/>
      <w:sz w:val="24"/>
      <w:szCs w:val="24"/>
    </w:rPr>
  </w:style>
  <w:style w:type="character" w:customStyle="1" w:styleId="34">
    <w:name w:val="纯文本 Char"/>
    <w:basedOn w:val="26"/>
    <w:link w:val="16"/>
    <w:qFormat/>
    <w:uiPriority w:val="0"/>
    <w:rPr>
      <w:rFonts w:ascii="宋体" w:hAnsi="Courier New"/>
      <w:kern w:val="2"/>
      <w:sz w:val="21"/>
    </w:rPr>
  </w:style>
  <w:style w:type="character" w:styleId="35">
    <w:name w:val="Placeholder Text"/>
    <w:basedOn w:val="26"/>
    <w:unhideWhenUsed/>
    <w:qFormat/>
    <w:uiPriority w:val="99"/>
    <w:rPr>
      <w:color w:val="808080"/>
    </w:rPr>
  </w:style>
  <w:style w:type="character" w:customStyle="1" w:styleId="36">
    <w:name w:val="日期 Char"/>
    <w:basedOn w:val="26"/>
    <w:link w:val="17"/>
    <w:qFormat/>
    <w:uiPriority w:val="0"/>
    <w:rPr>
      <w:rFonts w:ascii="Times New Roman" w:hAnsi="Times New Roman"/>
      <w:kern w:val="2"/>
      <w:sz w:val="24"/>
      <w:szCs w:val="24"/>
    </w:rPr>
  </w:style>
  <w:style w:type="character" w:customStyle="1" w:styleId="37">
    <w:name w:val="文档结构图 Char"/>
    <w:basedOn w:val="26"/>
    <w:link w:val="13"/>
    <w:qFormat/>
    <w:uiPriority w:val="0"/>
    <w:rPr>
      <w:rFonts w:ascii="宋体" w:hAnsi="Times New Roman"/>
      <w:kern w:val="2"/>
      <w:sz w:val="18"/>
      <w:szCs w:val="18"/>
    </w:rPr>
  </w:style>
  <w:style w:type="paragraph" w:styleId="3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2.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chart" Target="charts/chart1.xml"/><Relationship Id="rId22" Type="http://schemas.microsoft.com/office/2007/relationships/hdphoto" Target="media/image3.wdp"/><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3&#19996;&#36947;&#27700;&#24211;\&#35843;&#2794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3&#19996;&#36947;&#27700;&#24211;\&#35843;&#2794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21199795545211"/>
          <c:y val="0.0415657752850458"/>
          <c:w val="0.893112809525144"/>
          <c:h val="0.864645478444769"/>
        </c:manualLayout>
      </c:layout>
      <c:scatterChart>
        <c:scatterStyle val="smoothMarker"/>
        <c:varyColors val="false"/>
        <c:ser>
          <c:idx val="0"/>
          <c:order val="0"/>
          <c:tx>
            <c:strRef>
              <c:f>库容（万m³）</c:f>
              <c:strCache>
                <c:ptCount val="1"/>
                <c:pt idx="0">
                  <c:v>库容（万m³）</c:v>
                </c:pt>
              </c:strCache>
            </c:strRef>
          </c:tx>
          <c:spPr>
            <a:ln w="28575" cap="rnd" cmpd="sng" algn="ctr">
              <a:solidFill>
                <a:schemeClr val="tx1"/>
              </a:solidFill>
              <a:prstDash val="dash"/>
              <a:round/>
            </a:ln>
          </c:spPr>
          <c:marker>
            <c:symbol val="none"/>
          </c:marker>
          <c:dLbls>
            <c:delete val="true"/>
          </c:dLbls>
          <c:xVal>
            <c:numRef>
              <c:f>Sheet1!$G$44:$G$50</c:f>
              <c:numCache>
                <c:formatCode>General</c:formatCode>
                <c:ptCount val="7"/>
                <c:pt idx="0">
                  <c:v>94.15</c:v>
                </c:pt>
                <c:pt idx="1">
                  <c:v>94.65</c:v>
                </c:pt>
                <c:pt idx="2">
                  <c:v>95.15</c:v>
                </c:pt>
                <c:pt idx="3">
                  <c:v>95.65</c:v>
                </c:pt>
                <c:pt idx="4">
                  <c:v>96.15</c:v>
                </c:pt>
                <c:pt idx="5">
                  <c:v>96.65</c:v>
                </c:pt>
                <c:pt idx="6">
                  <c:v>97.15</c:v>
                </c:pt>
              </c:numCache>
            </c:numRef>
          </c:xVal>
          <c:yVal>
            <c:numRef>
              <c:f>Sheet1!$H$44:$H$50</c:f>
              <c:numCache>
                <c:formatCode>General</c:formatCode>
                <c:ptCount val="7"/>
                <c:pt idx="0">
                  <c:v>4.5</c:v>
                </c:pt>
                <c:pt idx="1">
                  <c:v>4.7</c:v>
                </c:pt>
                <c:pt idx="2">
                  <c:v>5.72</c:v>
                </c:pt>
                <c:pt idx="3">
                  <c:v>8.39</c:v>
                </c:pt>
                <c:pt idx="4">
                  <c:v>12.43</c:v>
                </c:pt>
                <c:pt idx="5">
                  <c:v>17.84</c:v>
                </c:pt>
                <c:pt idx="6">
                  <c:v>23.16</c:v>
                </c:pt>
              </c:numCache>
            </c:numRef>
          </c:yVal>
          <c:smooth val="true"/>
        </c:ser>
        <c:ser>
          <c:idx val="2"/>
          <c:order val="1"/>
          <c:tx>
            <c:strRef>
              <c:f>泄流量(m³/s)</c:f>
              <c:strCache>
                <c:ptCount val="1"/>
                <c:pt idx="0">
                  <c:v>泄流量(m³/s)</c:v>
                </c:pt>
              </c:strCache>
            </c:strRef>
          </c:tx>
          <c:spPr>
            <a:ln w="28575" cap="rnd" cmpd="sng" algn="ctr">
              <a:solidFill>
                <a:schemeClr val="tx1"/>
              </a:solidFill>
              <a:prstDash val="solid"/>
              <a:round/>
            </a:ln>
          </c:spPr>
          <c:marker>
            <c:symbol val="none"/>
          </c:marker>
          <c:dLbls>
            <c:delete val="true"/>
          </c:dLbls>
          <c:xVal>
            <c:numRef>
              <c:f>Sheet1!$G$44:$G$50</c:f>
              <c:numCache>
                <c:formatCode>General</c:formatCode>
                <c:ptCount val="7"/>
                <c:pt idx="0">
                  <c:v>94.15</c:v>
                </c:pt>
                <c:pt idx="1">
                  <c:v>94.65</c:v>
                </c:pt>
                <c:pt idx="2">
                  <c:v>95.15</c:v>
                </c:pt>
                <c:pt idx="3">
                  <c:v>95.65</c:v>
                </c:pt>
                <c:pt idx="4">
                  <c:v>96.15</c:v>
                </c:pt>
                <c:pt idx="5">
                  <c:v>96.65</c:v>
                </c:pt>
                <c:pt idx="6">
                  <c:v>97.15</c:v>
                </c:pt>
              </c:numCache>
            </c:numRef>
          </c:xVal>
          <c:yVal>
            <c:numRef>
              <c:f>Sheet1!$L$44:$L$50</c:f>
              <c:numCache>
                <c:formatCode>General</c:formatCode>
                <c:ptCount val="7"/>
                <c:pt idx="0">
                  <c:v>0</c:v>
                </c:pt>
                <c:pt idx="1">
                  <c:v>1.2</c:v>
                </c:pt>
                <c:pt idx="2">
                  <c:v>5.6</c:v>
                </c:pt>
                <c:pt idx="3">
                  <c:v>17.9</c:v>
                </c:pt>
                <c:pt idx="4">
                  <c:v>45</c:v>
                </c:pt>
                <c:pt idx="5">
                  <c:v>89.8</c:v>
                </c:pt>
                <c:pt idx="6">
                  <c:v>141.4</c:v>
                </c:pt>
              </c:numCache>
            </c:numRef>
          </c:yVal>
          <c:smooth val="true"/>
        </c:ser>
        <c:dLbls>
          <c:showLegendKey val="false"/>
          <c:showVal val="false"/>
          <c:showCatName val="false"/>
          <c:showSerName val="false"/>
          <c:showPercent val="false"/>
          <c:showBubbleSize val="false"/>
        </c:dLbls>
        <c:axId val="228885696"/>
        <c:axId val="228886256"/>
      </c:scatterChart>
      <c:valAx>
        <c:axId val="22888569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28886256"/>
        <c:crosses val="autoZero"/>
        <c:crossBetween val="midCat"/>
      </c:valAx>
      <c:valAx>
        <c:axId val="22888625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28885696"/>
        <c:crosses val="autoZero"/>
        <c:crossBetween val="midCat"/>
      </c:valAx>
    </c:plotArea>
    <c:legend>
      <c:legendPos val="r"/>
      <c:layout>
        <c:manualLayout>
          <c:xMode val="edge"/>
          <c:yMode val="edge"/>
          <c:x val="0.134001458453947"/>
          <c:y val="0.0916137963400232"/>
          <c:w val="0.27036397558739"/>
          <c:h val="0.135398150260799"/>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21199795545211"/>
          <c:y val="0.0415657752850458"/>
          <c:w val="0.893112809525144"/>
          <c:h val="0.864645478444769"/>
        </c:manualLayout>
      </c:layout>
      <c:scatterChart>
        <c:scatterStyle val="smoothMarker"/>
        <c:varyColors val="false"/>
        <c:ser>
          <c:idx val="0"/>
          <c:order val="0"/>
          <c:tx>
            <c:strRef>
              <c:f>库容（万m³）</c:f>
              <c:strCache>
                <c:ptCount val="1"/>
                <c:pt idx="0">
                  <c:v>库容（万m³）</c:v>
                </c:pt>
              </c:strCache>
            </c:strRef>
          </c:tx>
          <c:spPr>
            <a:ln w="28575" cap="rnd" cmpd="sng" algn="ctr">
              <a:solidFill>
                <a:schemeClr val="tx1"/>
              </a:solidFill>
              <a:prstDash val="dash"/>
              <a:round/>
            </a:ln>
          </c:spPr>
          <c:marker>
            <c:symbol val="none"/>
          </c:marker>
          <c:dLbls>
            <c:delete val="true"/>
          </c:dLbls>
          <c:xVal>
            <c:numRef>
              <c:f>Sheet1!$G$44:$G$50</c:f>
              <c:numCache>
                <c:formatCode>General</c:formatCode>
                <c:ptCount val="7"/>
                <c:pt idx="0">
                  <c:v>94.15</c:v>
                </c:pt>
                <c:pt idx="1">
                  <c:v>94.65</c:v>
                </c:pt>
                <c:pt idx="2">
                  <c:v>95.15</c:v>
                </c:pt>
                <c:pt idx="3">
                  <c:v>95.65</c:v>
                </c:pt>
                <c:pt idx="4">
                  <c:v>96.15</c:v>
                </c:pt>
                <c:pt idx="5">
                  <c:v>96.65</c:v>
                </c:pt>
                <c:pt idx="6">
                  <c:v>97.15</c:v>
                </c:pt>
              </c:numCache>
            </c:numRef>
          </c:xVal>
          <c:yVal>
            <c:numRef>
              <c:f>Sheet1!$H$44:$H$50</c:f>
              <c:numCache>
                <c:formatCode>General</c:formatCode>
                <c:ptCount val="7"/>
                <c:pt idx="0">
                  <c:v>4.5</c:v>
                </c:pt>
                <c:pt idx="1">
                  <c:v>4.7</c:v>
                </c:pt>
                <c:pt idx="2">
                  <c:v>5.72</c:v>
                </c:pt>
                <c:pt idx="3">
                  <c:v>8.39</c:v>
                </c:pt>
                <c:pt idx="4">
                  <c:v>12.43</c:v>
                </c:pt>
                <c:pt idx="5">
                  <c:v>17.84</c:v>
                </c:pt>
                <c:pt idx="6">
                  <c:v>23.16</c:v>
                </c:pt>
              </c:numCache>
            </c:numRef>
          </c:yVal>
          <c:smooth val="true"/>
        </c:ser>
        <c:ser>
          <c:idx val="2"/>
          <c:order val="1"/>
          <c:tx>
            <c:strRef>
              <c:f>泄流量(m³/s)</c:f>
              <c:strCache>
                <c:ptCount val="1"/>
                <c:pt idx="0">
                  <c:v>泄流量(m³/s)</c:v>
                </c:pt>
              </c:strCache>
            </c:strRef>
          </c:tx>
          <c:spPr>
            <a:ln w="28575" cap="rnd" cmpd="sng" algn="ctr">
              <a:solidFill>
                <a:schemeClr val="tx1"/>
              </a:solidFill>
              <a:prstDash val="solid"/>
              <a:round/>
            </a:ln>
          </c:spPr>
          <c:marker>
            <c:symbol val="none"/>
          </c:marker>
          <c:dLbls>
            <c:delete val="true"/>
          </c:dLbls>
          <c:xVal>
            <c:numRef>
              <c:f>Sheet1!$G$44:$G$50</c:f>
              <c:numCache>
                <c:formatCode>General</c:formatCode>
                <c:ptCount val="7"/>
                <c:pt idx="0">
                  <c:v>94.15</c:v>
                </c:pt>
                <c:pt idx="1">
                  <c:v>94.65</c:v>
                </c:pt>
                <c:pt idx="2">
                  <c:v>95.15</c:v>
                </c:pt>
                <c:pt idx="3">
                  <c:v>95.65</c:v>
                </c:pt>
                <c:pt idx="4">
                  <c:v>96.15</c:v>
                </c:pt>
                <c:pt idx="5">
                  <c:v>96.65</c:v>
                </c:pt>
                <c:pt idx="6">
                  <c:v>97.15</c:v>
                </c:pt>
              </c:numCache>
            </c:numRef>
          </c:xVal>
          <c:yVal>
            <c:numRef>
              <c:f>Sheet1!$L$44:$L$50</c:f>
              <c:numCache>
                <c:formatCode>General</c:formatCode>
                <c:ptCount val="7"/>
                <c:pt idx="0">
                  <c:v>0</c:v>
                </c:pt>
                <c:pt idx="1">
                  <c:v>1.2</c:v>
                </c:pt>
                <c:pt idx="2">
                  <c:v>5.6</c:v>
                </c:pt>
                <c:pt idx="3">
                  <c:v>17.9</c:v>
                </c:pt>
                <c:pt idx="4">
                  <c:v>45</c:v>
                </c:pt>
                <c:pt idx="5">
                  <c:v>89.8</c:v>
                </c:pt>
                <c:pt idx="6">
                  <c:v>141.4</c:v>
                </c:pt>
              </c:numCache>
            </c:numRef>
          </c:yVal>
          <c:smooth val="true"/>
        </c:ser>
        <c:dLbls>
          <c:showLegendKey val="false"/>
          <c:showVal val="false"/>
          <c:showCatName val="false"/>
          <c:showSerName val="false"/>
          <c:showPercent val="false"/>
          <c:showBubbleSize val="false"/>
        </c:dLbls>
        <c:axId val="228889056"/>
        <c:axId val="228889616"/>
      </c:scatterChart>
      <c:valAx>
        <c:axId val="22888905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28889616"/>
        <c:crosses val="autoZero"/>
        <c:crossBetween val="midCat"/>
      </c:valAx>
      <c:valAx>
        <c:axId val="22888961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28889056"/>
        <c:crosses val="autoZero"/>
        <c:crossBetween val="midCat"/>
      </c:valAx>
    </c:plotArea>
    <c:legend>
      <c:legendPos val="r"/>
      <c:layout>
        <c:manualLayout>
          <c:xMode val="edge"/>
          <c:yMode val="edge"/>
          <c:x val="0.134001458453947"/>
          <c:y val="0.0916137963400232"/>
          <c:w val="0.27036397558739"/>
          <c:h val="0.135398150260799"/>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55"/>
    <customShpInfo spid="_x0000_s1054"/>
    <customShpInfo spid="_x0000_s1027"/>
    <customShpInfo spid="_x0000_s1028"/>
    <customShpInfo spid="_x0000_s1053"/>
    <customShpInfo spid="_x0000_s1029"/>
    <customShpInfo spid="_x0000_s1052"/>
    <customShpInfo spid="_x0000_s1051"/>
    <customShpInfo spid="_x0000_s1050"/>
    <customShpInfo spid="_x0000_s1049"/>
    <customShpInfo spid="_x0000_s1048"/>
    <customShpInfo spid="_x0000_s1047"/>
    <customShpInfo spid="_x0000_s1030"/>
    <customShpInfo spid="_x0000_s1046"/>
    <customShpInfo spid="_x0000_s1031"/>
    <customShpInfo spid="_x0000_s1045"/>
    <customShpInfo spid="_x0000_s1044"/>
    <customShpInfo spid="_x0000_s1032"/>
    <customShpInfo spid="_x0000_s1033"/>
    <customShpInfo spid="_x0000_s1043"/>
    <customShpInfo spid="_x0000_s1034"/>
    <customShpInfo spid="_x0000_s1042"/>
    <customShpInfo spid="_x0000_s1035"/>
    <customShpInfo spid="_x0000_s1041"/>
    <customShpInfo spid="_x0000_s1036"/>
    <customShpInfo spid="_x0000_s1040"/>
    <customShpInfo spid="_x0000_s1039"/>
    <customShpInfo spid="_x0000_s1038"/>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Company>微软中国</Company>
  <Pages>1</Pages>
  <Words>3304</Words>
  <Characters>18833</Characters>
  <Lines>156</Lines>
  <Paragraphs>44</Paragraphs>
  <TotalTime>9</TotalTime>
  <ScaleCrop>false</ScaleCrop>
  <LinksUpToDate>false</LinksUpToDate>
  <CharactersWithSpaces>22093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2020-05-14T14:21:00Z</dcterms:created>
  <dc:creator>微软用户</dc:creator>
  <cp:lastModifiedBy>独身仙子</cp:lastModifiedBy>
  <cp:lastPrinted>2018-09-12T10:28:00Z</cp:lastPrinted>
  <dcterms:modified xsi:type="dcterms:W3CDTF">2023-06-08T10:22:05Z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