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3B38">
      <w:pPr>
        <w:spacing w:line="560" w:lineRule="exact"/>
        <w:jc w:val="center"/>
        <w:rPr>
          <w:rFonts w:ascii="方正小标宋简体" w:hAnsi="仿宋_GB2312" w:eastAsia="方正小标宋简体" w:cs="仿宋_GB2312"/>
          <w:sz w:val="44"/>
          <w:szCs w:val="44"/>
        </w:rPr>
      </w:pPr>
    </w:p>
    <w:p w14:paraId="0EC2C55D">
      <w:pPr>
        <w:spacing w:line="560" w:lineRule="exact"/>
        <w:jc w:val="center"/>
        <w:rPr>
          <w:rFonts w:ascii="方正小标宋简体" w:hAnsi="仿宋_GB2312" w:eastAsia="方正小标宋简体" w:cs="仿宋_GB2312"/>
          <w:sz w:val="44"/>
          <w:szCs w:val="44"/>
        </w:rPr>
      </w:pPr>
    </w:p>
    <w:p w14:paraId="372AC8DD">
      <w:pPr>
        <w:spacing w:line="560" w:lineRule="exact"/>
        <w:jc w:val="center"/>
        <w:rPr>
          <w:rFonts w:ascii="方正小标宋简体" w:hAnsi="仿宋_GB2312" w:eastAsia="方正小标宋简体" w:cs="仿宋_GB2312"/>
          <w:sz w:val="44"/>
          <w:szCs w:val="44"/>
        </w:rPr>
      </w:pPr>
    </w:p>
    <w:p w14:paraId="7E21B822">
      <w:pPr>
        <w:spacing w:line="560" w:lineRule="exact"/>
        <w:jc w:val="center"/>
        <w:rPr>
          <w:rFonts w:ascii="方正小标宋简体" w:hAnsi="仿宋_GB2312" w:eastAsia="方正小标宋简体" w:cs="仿宋_GB2312"/>
          <w:sz w:val="44"/>
          <w:szCs w:val="44"/>
        </w:rPr>
      </w:pPr>
    </w:p>
    <w:p w14:paraId="18238F8D">
      <w:pPr>
        <w:spacing w:line="560" w:lineRule="exact"/>
        <w:jc w:val="center"/>
        <w:rPr>
          <w:rFonts w:ascii="方正小标宋简体" w:hAnsi="仿宋_GB2312" w:eastAsia="方正小标宋简体" w:cs="仿宋_GB2312"/>
          <w:sz w:val="84"/>
          <w:szCs w:val="84"/>
        </w:rPr>
      </w:pPr>
    </w:p>
    <w:p w14:paraId="09DD30A9"/>
    <w:p w14:paraId="466E35F8">
      <w:pPr>
        <w:pStyle w:val="19"/>
        <w:spacing w:line="440" w:lineRule="exact"/>
        <w:ind w:firstLine="304" w:firstLineChars="100"/>
        <w:rPr>
          <w:rFonts w:ascii="Times New Roman" w:hAnsi="Times New Roman" w:eastAsia="楷体_GB2312" w:cs="Times New Roman"/>
        </w:rPr>
      </w:pPr>
    </w:p>
    <w:p w14:paraId="70C19DDC">
      <w:pPr>
        <w:pStyle w:val="19"/>
        <w:spacing w:line="440" w:lineRule="exact"/>
        <w:ind w:firstLine="304" w:firstLineChars="100"/>
        <w:rPr>
          <w:rFonts w:ascii="Times New Roman" w:hAnsi="Times New Roman" w:eastAsia="楷体_GB2312" w:cs="Times New Roman"/>
        </w:rPr>
      </w:pPr>
    </w:p>
    <w:p w14:paraId="5ED1EB3F">
      <w:pPr>
        <w:spacing w:line="560" w:lineRule="exact"/>
        <w:jc w:val="center"/>
        <w:rPr>
          <w:rFonts w:ascii="Times New Roman" w:hAnsi="Times New Roman" w:eastAsia="方正小标宋简体" w:cs="Times New Roman"/>
          <w:sz w:val="44"/>
          <w:szCs w:val="44"/>
        </w:rPr>
      </w:pPr>
    </w:p>
    <w:p w14:paraId="35CD9C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周村区水利局</w:t>
      </w:r>
    </w:p>
    <w:p w14:paraId="5F9478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sz w:val="44"/>
          <w:szCs w:val="44"/>
          <w:lang w:eastAsia="zh-CN"/>
        </w:rPr>
        <w:t>关于印发《</w:t>
      </w: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周村区水利局2025年“双随机、</w:t>
      </w:r>
    </w:p>
    <w:p w14:paraId="4748AA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一公开”抽查事项清单</w:t>
      </w:r>
      <w:r>
        <w:rPr>
          <w:rFonts w:hint="eastAsia" w:ascii="方正小标宋简体" w:hAnsi="方正小标宋简体" w:eastAsia="方正小标宋简体" w:cs="方正小标宋简体"/>
          <w:b w:val="0"/>
          <w:bCs w:val="0"/>
          <w:sz w:val="44"/>
          <w:szCs w:val="44"/>
          <w:lang w:eastAsia="zh-CN"/>
        </w:rPr>
        <w:t>》的通知</w:t>
      </w:r>
    </w:p>
    <w:p w14:paraId="12DF08B7">
      <w:pPr>
        <w:pStyle w:val="9"/>
        <w:rPr>
          <w:rFonts w:hint="eastAsia"/>
          <w:lang w:eastAsia="zh-CN"/>
        </w:rPr>
      </w:pPr>
    </w:p>
    <w:p w14:paraId="7AF9DB3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局属各单位、机关各科室：</w:t>
      </w:r>
    </w:p>
    <w:p w14:paraId="05803B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为更好开展“双随机、一公开”监管工作，现将《</w:t>
      </w:r>
      <w:r>
        <w:rPr>
          <w:rFonts w:hint="eastAsia" w:ascii="仿宋_GB2312" w:hAnsi="仿宋_GB2312" w:eastAsia="仿宋_GB2312" w:cs="仿宋_GB2312"/>
          <w:b w:val="0"/>
          <w:bCs w:val="0"/>
          <w:sz w:val="32"/>
          <w:szCs w:val="32"/>
          <w:lang w:val="en-US" w:eastAsia="zh-CN"/>
        </w:rPr>
        <w:t>周村区水利局2025年“双随机、一公开”抽查事项清单</w:t>
      </w:r>
      <w:r>
        <w:rPr>
          <w:rFonts w:hint="eastAsia" w:ascii="仿宋_GB2312" w:hAnsi="仿宋_GB2312" w:eastAsia="仿宋_GB2312" w:cs="仿宋_GB2312"/>
          <w:b w:val="0"/>
          <w:bCs w:val="0"/>
          <w:sz w:val="32"/>
          <w:szCs w:val="32"/>
          <w:lang w:eastAsia="zh-CN"/>
        </w:rPr>
        <w:t>》印发给你们，请结合工作实际认真贯彻落实。</w:t>
      </w:r>
    </w:p>
    <w:p w14:paraId="214A9516">
      <w:pPr>
        <w:rPr>
          <w:rFonts w:hint="eastAsia"/>
          <w:lang w:eastAsia="zh-CN"/>
        </w:rPr>
      </w:pPr>
    </w:p>
    <w:p w14:paraId="1DB2E080">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周村区水利局2025年“双随机、一公开”抽查事项清</w:t>
      </w:r>
      <w:bookmarkStart w:id="0" w:name="_GoBack"/>
      <w:bookmarkEnd w:id="0"/>
      <w:r>
        <w:rPr>
          <w:rFonts w:hint="eastAsia" w:ascii="仿宋_GB2312" w:hAnsi="仿宋_GB2312" w:eastAsia="仿宋_GB2312" w:cs="仿宋_GB2312"/>
          <w:b w:val="0"/>
          <w:bCs w:val="0"/>
          <w:sz w:val="32"/>
          <w:szCs w:val="32"/>
          <w:lang w:val="en-US" w:eastAsia="zh-CN"/>
        </w:rPr>
        <w:t>单</w:t>
      </w:r>
    </w:p>
    <w:p w14:paraId="33D761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eastAsia="zh-CN"/>
        </w:rPr>
      </w:pPr>
    </w:p>
    <w:p w14:paraId="2DA90FA1">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周村区水利局</w:t>
      </w:r>
    </w:p>
    <w:p w14:paraId="6FA6FD9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2025年5月23日       </w:t>
      </w:r>
    </w:p>
    <w:p w14:paraId="37F81619"/>
    <w:p w14:paraId="1AD9017C">
      <w:pPr>
        <w:pStyle w:val="9"/>
        <w:sectPr>
          <w:pgSz w:w="11906" w:h="16838"/>
          <w:pgMar w:top="1418" w:right="1440" w:bottom="1560" w:left="1440" w:header="851" w:footer="992" w:gutter="0"/>
          <w:pgBorders>
            <w:top w:val="none" w:sz="0" w:space="0"/>
            <w:left w:val="none" w:sz="0" w:space="0"/>
            <w:bottom w:val="none" w:sz="0" w:space="0"/>
            <w:right w:val="none" w:sz="0" w:space="0"/>
          </w:pgBorders>
          <w:lnNumType w:countBy="0" w:restart="continuous"/>
          <w:pgNumType w:fmt="decimal"/>
          <w:cols w:space="425" w:num="1"/>
          <w:docGrid w:type="lines" w:linePitch="312" w:charSpace="0"/>
        </w:sectPr>
      </w:pPr>
    </w:p>
    <w:p w14:paraId="561B76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lang w:val="en-US" w:eastAsia="zh-CN"/>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周村区水利局2025年“双随机、一公开”抽查事项清单</w:t>
      </w:r>
    </w:p>
    <w:p w14:paraId="0E1345BE"/>
    <w:tbl>
      <w:tblPr>
        <w:tblStyle w:val="12"/>
        <w:tblW w:w="14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888"/>
        <w:gridCol w:w="1092"/>
        <w:gridCol w:w="2664"/>
        <w:gridCol w:w="852"/>
        <w:gridCol w:w="872"/>
        <w:gridCol w:w="938"/>
        <w:gridCol w:w="1277"/>
        <w:gridCol w:w="1186"/>
        <w:gridCol w:w="4145"/>
      </w:tblGrid>
      <w:tr w14:paraId="6EED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86D9">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03E4">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权责清单事项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EEB0">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抽查</w:t>
            </w:r>
          </w:p>
          <w:p w14:paraId="7F2533D4">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事项</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7B5D">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抽查内容</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9C38">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b/>
                <w:bCs/>
                <w:i w:val="0"/>
                <w:iCs w:val="0"/>
                <w:color w:val="auto"/>
                <w:kern w:val="0"/>
                <w:sz w:val="24"/>
                <w:szCs w:val="24"/>
                <w:highlight w:val="none"/>
                <w:u w:val="none"/>
                <w:lang w:val="en-US" w:eastAsia="zh-CN" w:bidi="ar"/>
              </w:rPr>
              <w:t>检查</w:t>
            </w:r>
          </w:p>
          <w:p w14:paraId="14A7787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对象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CC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事项类别</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F4F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检查方式</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577C">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highlight w:val="none"/>
                <w:u w:val="none"/>
              </w:rPr>
            </w:pPr>
            <w:r>
              <w:rPr>
                <w:rFonts w:hint="eastAsia" w:ascii="仿宋_GB2312" w:hAnsi="宋体" w:eastAsia="仿宋_GB2312" w:cs="仿宋_GB2312"/>
                <w:b/>
                <w:bCs/>
                <w:i w:val="0"/>
                <w:iCs w:val="0"/>
                <w:color w:val="auto"/>
                <w:kern w:val="0"/>
                <w:sz w:val="24"/>
                <w:szCs w:val="24"/>
                <w:highlight w:val="none"/>
                <w:u w:val="none"/>
                <w:lang w:val="en-US" w:eastAsia="zh-CN" w:bidi="ar"/>
              </w:rPr>
              <w:t>抽查比例及频次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7295">
            <w:pPr>
              <w:keepNext w:val="0"/>
              <w:keepLines w:val="0"/>
              <w:widowControl/>
              <w:suppressLineNumbers w:val="0"/>
              <w:jc w:val="center"/>
              <w:textAlignment w:val="center"/>
              <w:rPr>
                <w:rFonts w:hint="eastAsia" w:ascii="仿宋_GB2312" w:hAnsi="宋体" w:eastAsia="仿宋_GB2312" w:cs="仿宋_GB2312"/>
                <w:b/>
                <w:bCs/>
                <w:i w:val="0"/>
                <w:iCs w:val="0"/>
                <w:color w:val="auto"/>
                <w:kern w:val="0"/>
                <w:sz w:val="24"/>
                <w:szCs w:val="24"/>
                <w:u w:val="none"/>
                <w:lang w:val="en-US" w:eastAsia="zh-CN" w:bidi="ar"/>
              </w:rPr>
            </w:pPr>
            <w:r>
              <w:rPr>
                <w:rFonts w:hint="eastAsia" w:ascii="仿宋_GB2312" w:hAnsi="宋体" w:eastAsia="仿宋_GB2312" w:cs="仿宋_GB2312"/>
                <w:b/>
                <w:bCs/>
                <w:i w:val="0"/>
                <w:iCs w:val="0"/>
                <w:color w:val="auto"/>
                <w:kern w:val="0"/>
                <w:sz w:val="24"/>
                <w:szCs w:val="24"/>
                <w:u w:val="none"/>
                <w:lang w:val="en-US" w:eastAsia="zh-CN" w:bidi="ar"/>
              </w:rPr>
              <w:t>检查部门及实施层级</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C235">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检查依据</w:t>
            </w:r>
          </w:p>
        </w:tc>
      </w:tr>
      <w:tr w14:paraId="5368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8" w:hRule="atLeast"/>
          <w:jc w:val="center"/>
        </w:trPr>
        <w:tc>
          <w:tcPr>
            <w:tcW w:w="704" w:type="dxa"/>
            <w:vMerge w:val="restart"/>
            <w:tcBorders>
              <w:top w:val="single" w:color="000000" w:sz="4" w:space="0"/>
              <w:left w:val="single" w:color="000000" w:sz="4" w:space="0"/>
              <w:right w:val="single" w:color="000000" w:sz="4" w:space="0"/>
            </w:tcBorders>
            <w:shd w:val="clear" w:color="auto" w:fill="auto"/>
            <w:vAlign w:val="center"/>
          </w:tcPr>
          <w:p w14:paraId="344B5E85">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w:t>
            </w:r>
          </w:p>
        </w:tc>
        <w:tc>
          <w:tcPr>
            <w:tcW w:w="888" w:type="dxa"/>
            <w:vMerge w:val="restart"/>
            <w:tcBorders>
              <w:top w:val="single" w:color="000000" w:sz="4" w:space="0"/>
              <w:left w:val="single" w:color="000000" w:sz="4" w:space="0"/>
              <w:right w:val="single" w:color="000000" w:sz="4" w:space="0"/>
            </w:tcBorders>
            <w:shd w:val="clear" w:color="auto" w:fill="auto"/>
            <w:vAlign w:val="center"/>
          </w:tcPr>
          <w:p w14:paraId="5916E27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eastAsia="zh-CN"/>
              </w:rPr>
            </w:pPr>
            <w:r>
              <w:rPr>
                <w:rFonts w:hint="eastAsia" w:ascii="仿宋_GB2312" w:hAnsi="宋体" w:eastAsia="仿宋_GB2312" w:cs="仿宋_GB2312"/>
                <w:i w:val="0"/>
                <w:iCs w:val="0"/>
                <w:color w:val="auto"/>
                <w:sz w:val="21"/>
                <w:szCs w:val="21"/>
                <w:highlight w:val="none"/>
                <w:u w:val="none"/>
                <w:lang w:eastAsia="zh-CN"/>
              </w:rPr>
              <w:t>对水资源的监督检查</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0CD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对单位/个人取用水行为的行政检查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BE3A">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1.取用水户是否取得有效取水许可证。2.是否按照批复情况进行取水。3.取用水户用水量是否存在超许可情形。</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796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yellow"/>
                <w:u w:val="none"/>
                <w:shd w:val="clear" w:color="auto" w:fill="auto"/>
                <w:lang w:val="en-US" w:eastAsia="zh-CN" w:bidi="ar"/>
              </w:rPr>
            </w:pPr>
            <w:r>
              <w:rPr>
                <w:rFonts w:hint="eastAsia" w:ascii="仿宋_GB2312" w:hAnsi="宋体" w:eastAsia="仿宋_GB2312" w:cs="仿宋_GB2312"/>
                <w:i w:val="0"/>
                <w:iCs w:val="0"/>
                <w:color w:val="auto"/>
                <w:kern w:val="0"/>
                <w:sz w:val="21"/>
                <w:szCs w:val="21"/>
                <w:highlight w:val="none"/>
                <w:u w:val="none"/>
                <w:shd w:val="clear" w:color="auto" w:fill="auto"/>
                <w:lang w:val="en-US" w:eastAsia="zh-CN" w:bidi="ar"/>
              </w:rPr>
              <w:t>取用水单位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AE8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86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638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抽查比例不低于5%，每年至少1次。</w:t>
            </w:r>
          </w:p>
          <w:p w14:paraId="40E02C43">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（出现超许可可能性较大的取用水单位应当适当提高抽查频次）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1621">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602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1.《中华人民共和国水法》第四十八条、第六十九条。2.《取水许可和水资源费征收管理条例》第二条、第四十八条。3.《山东省水资源条例》4.《建设项目水资源论证管理办法》5.《山东省节约用</w:t>
            </w:r>
            <w:r>
              <w:rPr>
                <w:rFonts w:hint="eastAsia" w:ascii="仿宋_GB2312" w:hAnsi="宋体" w:eastAsia="仿宋_GB2312" w:cs="仿宋_GB2312"/>
                <w:i w:val="0"/>
                <w:iCs w:val="0"/>
                <w:color w:val="auto"/>
                <w:kern w:val="0"/>
                <w:sz w:val="21"/>
                <w:szCs w:val="21"/>
                <w:highlight w:val="none"/>
                <w:u w:val="none"/>
                <w:lang w:val="en-US" w:eastAsia="zh-CN" w:bidi="ar"/>
              </w:rPr>
              <w:t>水条例》</w:t>
            </w:r>
          </w:p>
        </w:tc>
      </w:tr>
      <w:tr w14:paraId="72F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jc w:val="center"/>
        </w:trPr>
        <w:tc>
          <w:tcPr>
            <w:tcW w:w="704" w:type="dxa"/>
            <w:vMerge w:val="continue"/>
            <w:tcBorders>
              <w:left w:val="single" w:color="000000" w:sz="4" w:space="0"/>
              <w:bottom w:val="single" w:color="000000" w:sz="4" w:space="0"/>
              <w:right w:val="single" w:color="000000" w:sz="4" w:space="0"/>
            </w:tcBorders>
            <w:shd w:val="clear" w:color="auto" w:fill="auto"/>
            <w:vAlign w:val="center"/>
          </w:tcPr>
          <w:p w14:paraId="2724C0E8">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p>
        </w:tc>
        <w:tc>
          <w:tcPr>
            <w:tcW w:w="888" w:type="dxa"/>
            <w:vMerge w:val="continue"/>
            <w:tcBorders>
              <w:left w:val="single" w:color="000000" w:sz="4" w:space="0"/>
              <w:bottom w:val="single" w:color="000000" w:sz="4" w:space="0"/>
              <w:right w:val="single" w:color="000000" w:sz="4" w:space="0"/>
            </w:tcBorders>
            <w:shd w:val="clear" w:color="auto" w:fill="auto"/>
            <w:vAlign w:val="center"/>
          </w:tcPr>
          <w:p w14:paraId="06E4CC8A">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F34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对节约用水的行政检查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B11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计划用水检查，检查取用水单位和个人是否按照批准的用水计划取用水，是否存在超计划（定额）用水情况；2.用水计量设施检查，检查取用水单位和个人是否按规定安装用水计量设施并保证正常运行；3.节水设施检查，检查取用水单位和个人是否按规定建设和使用节水设施</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D67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用水单位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8E6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57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0E8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抽查比例不低于5%，每年至少1次。</w:t>
            </w:r>
          </w:p>
          <w:p w14:paraId="740924B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lang w:val="en-US" w:eastAsia="zh-CN"/>
              </w:rPr>
            </w:pPr>
            <w:r>
              <w:rPr>
                <w:rFonts w:hint="eastAsia" w:ascii="仿宋_GB2312" w:hAnsi="宋体" w:eastAsia="仿宋_GB2312" w:cs="仿宋_GB2312"/>
                <w:i w:val="0"/>
                <w:iCs w:val="0"/>
                <w:color w:val="auto"/>
                <w:sz w:val="21"/>
                <w:szCs w:val="21"/>
                <w:highlight w:val="none"/>
                <w:u w:val="none"/>
                <w:lang w:val="en-US" w:eastAsia="zh-CN"/>
              </w:rPr>
              <w:t>（其中重点监控用水单位抽查比例不低于10%）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78A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26C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《山东省节约用水条例》第四十四条</w:t>
            </w:r>
          </w:p>
        </w:tc>
      </w:tr>
      <w:tr w14:paraId="77F2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8" w:hRule="atLeast"/>
          <w:jc w:val="center"/>
        </w:trPr>
        <w:tc>
          <w:tcPr>
            <w:tcW w:w="7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16DC245">
            <w:pPr>
              <w:keepNext w:val="0"/>
              <w:keepLines w:val="0"/>
              <w:widowControl/>
              <w:suppressLineNumbers w:val="0"/>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2</w:t>
            </w:r>
          </w:p>
        </w:tc>
        <w:tc>
          <w:tcPr>
            <w:tcW w:w="888" w:type="dxa"/>
            <w:tcBorders>
              <w:top w:val="single" w:color="000000" w:sz="4" w:space="0"/>
              <w:left w:val="single" w:color="000000" w:sz="4" w:space="0"/>
              <w:bottom w:val="single" w:color="auto" w:sz="4" w:space="0"/>
              <w:right w:val="single" w:color="000000" w:sz="4" w:space="0"/>
            </w:tcBorders>
            <w:shd w:val="clear" w:color="auto" w:fill="auto"/>
            <w:vAlign w:val="center"/>
          </w:tcPr>
          <w:p w14:paraId="3A3EE97B">
            <w:pPr>
              <w:keepNext w:val="0"/>
              <w:keepLines w:val="0"/>
              <w:widowControl/>
              <w:suppressLineNumbers w:val="0"/>
              <w:jc w:val="center"/>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对水工程安全的监督检查</w:t>
            </w:r>
          </w:p>
        </w:tc>
        <w:tc>
          <w:tcPr>
            <w:tcW w:w="1092" w:type="dxa"/>
            <w:tcBorders>
              <w:top w:val="single" w:color="000000" w:sz="4" w:space="0"/>
              <w:left w:val="single" w:color="000000" w:sz="4" w:space="0"/>
              <w:bottom w:val="single" w:color="auto" w:sz="4" w:space="0"/>
              <w:right w:val="single" w:color="000000" w:sz="4" w:space="0"/>
            </w:tcBorders>
            <w:shd w:val="clear" w:color="auto" w:fill="auto"/>
            <w:vAlign w:val="center"/>
          </w:tcPr>
          <w:p w14:paraId="6081583D">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对水工程运行和水工程安全活动的行政检查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86AE">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highlight w:val="yellow"/>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检查有无损毁河道堤防、护岸、闸坝等水工程建筑物和防汛设施、水文监测和测量设施、河岸地质监测设施、以及通信照明等设施的情形；有无非管理人员操作河道上的涵闸闸门，有无干扰河道管理单位的正常工作的情形，有无在堤防和护堤地建房、放牧、开渠、打井、挖窖、葬坟、晒粮、存放物料、开采地下资源、进行考古发掘以及开展集市贸易活动的情形，有无在堤防安全保护区内进行打井、钻探、爆破、挖筑鱼塘、采石、取土等危害堤防安全的活动</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1C1">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highlight w:val="yellow"/>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县级水利工程管理单位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AFE5">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2D48">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A160">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highlight w:val="yellow"/>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全年抽查比例100%，每年至少1次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99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473">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u w:val="none"/>
                <w:lang w:val="en-US" w:eastAsia="zh-CN" w:bidi="ar-SA"/>
              </w:rPr>
            </w:pPr>
            <w:r>
              <w:rPr>
                <w:rFonts w:hint="eastAsia" w:ascii="仿宋_GB2312" w:hAnsi="宋体" w:eastAsia="仿宋_GB2312" w:cs="仿宋_GB2312"/>
                <w:i w:val="0"/>
                <w:iCs w:val="0"/>
                <w:color w:val="auto"/>
                <w:kern w:val="0"/>
                <w:sz w:val="21"/>
                <w:szCs w:val="21"/>
                <w:u w:val="none"/>
                <w:lang w:val="en-US" w:eastAsia="zh-CN" w:bidi="ar"/>
              </w:rPr>
              <w:t>1.《中华人民共和国水法》第四十二条。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2.《水库大坝安全管理条例》第三条、第十一条。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3.《山东省实施&lt;水库大坝安全管理条例&gt;办法》第三条。</w:t>
            </w:r>
          </w:p>
        </w:tc>
      </w:tr>
      <w:tr w14:paraId="4659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000000" w:sz="4" w:space="0"/>
            </w:tcBorders>
            <w:shd w:val="clear" w:color="auto" w:fill="auto"/>
            <w:vAlign w:val="center"/>
          </w:tcPr>
          <w:p w14:paraId="5F38FA06">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3</w:t>
            </w:r>
          </w:p>
        </w:tc>
        <w:tc>
          <w:tcPr>
            <w:tcW w:w="888" w:type="dxa"/>
            <w:tcBorders>
              <w:top w:val="single" w:color="auto" w:sz="4" w:space="0"/>
              <w:left w:val="single" w:color="000000" w:sz="4" w:space="0"/>
              <w:bottom w:val="single" w:color="auto" w:sz="4" w:space="0"/>
              <w:right w:val="single" w:color="000000" w:sz="4" w:space="0"/>
            </w:tcBorders>
            <w:shd w:val="clear" w:color="auto" w:fill="auto"/>
            <w:vAlign w:val="center"/>
          </w:tcPr>
          <w:p w14:paraId="0563C19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对水土保持情况的监督检查</w:t>
            </w:r>
          </w:p>
        </w:tc>
        <w:tc>
          <w:tcPr>
            <w:tcW w:w="1092" w:type="dxa"/>
            <w:tcBorders>
              <w:top w:val="single" w:color="auto" w:sz="4" w:space="0"/>
              <w:left w:val="single" w:color="000000" w:sz="4" w:space="0"/>
              <w:bottom w:val="single" w:color="auto" w:sz="4" w:space="0"/>
              <w:right w:val="single" w:color="auto" w:sz="4" w:space="0"/>
            </w:tcBorders>
            <w:shd w:val="clear" w:color="auto" w:fill="auto"/>
            <w:vAlign w:val="center"/>
          </w:tcPr>
          <w:p w14:paraId="6CD90316">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对生产建设项目水土保持方案的行政检查</w:t>
            </w:r>
          </w:p>
        </w:tc>
        <w:tc>
          <w:tcPr>
            <w:tcW w:w="2664" w:type="dxa"/>
            <w:tcBorders>
              <w:top w:val="single" w:color="000000" w:sz="4" w:space="0"/>
              <w:left w:val="single" w:color="auto" w:sz="4" w:space="0"/>
              <w:bottom w:val="single" w:color="000000" w:sz="4" w:space="0"/>
              <w:right w:val="single" w:color="000000" w:sz="4" w:space="0"/>
            </w:tcBorders>
            <w:shd w:val="clear" w:color="auto" w:fill="auto"/>
            <w:vAlign w:val="center"/>
          </w:tcPr>
          <w:p w14:paraId="08DA007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水土保持工作组织管理情况；水土保持方案审批（含重大变更）情况；水土保持后续设计情况；表土剥离、保存和利用情况；取、弃土（渣、石、矸石、尾矿等）场选址及防护情况；水土保持措施落实情况；水土保持监测、监理情况；水土保持补偿费缴纳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FF7E">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可能造成人为水土流失的生产建设项目法人单位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A53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48F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C68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抽查比例不低于5%，每年至少1次。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5CE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4A6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1.《中华人民共和国水土保持法》第二十九条、第四十三条。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2.《山东省水土保持条例》第二十七条、第四十七条。</w:t>
            </w:r>
          </w:p>
        </w:tc>
      </w:tr>
      <w:tr w14:paraId="3FE3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9"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729A">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90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对水文监测环境和设施保护的监督检查</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7D6D">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对国家基本水文测站上下游建设影响水文监测工程的行政检查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08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工程建设影响测站是否依法履行了审批手续；工程是否按审批内容开展建设；避免或者减少工程建设对水文测站影响的措施是否落实到位；工程运行是否能保证水文监测工作正常进行。</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7A6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市级、区县级许可项目的建设单位（2024年实施的在建项目）</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F38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一般检查事项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BFC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D59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全年抽查比例为5%，每年至少1次</w:t>
            </w:r>
          </w:p>
          <w:p w14:paraId="19C0767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F5E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F95E">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1.《中华人民共和国水法》</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2.《中华人民共和国防洪法》</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3.《中华人民共和国水文条例》</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4.《中华人民共和国河道管理条例》</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5.《山东省水文管理办法》</w:t>
            </w:r>
          </w:p>
        </w:tc>
      </w:tr>
      <w:tr w14:paraId="1F68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8" w:hRule="atLeast"/>
          <w:jc w:val="center"/>
        </w:trPr>
        <w:tc>
          <w:tcPr>
            <w:tcW w:w="704" w:type="dxa"/>
            <w:tcBorders>
              <w:top w:val="single" w:color="000000" w:sz="4" w:space="0"/>
              <w:left w:val="single" w:color="000000" w:sz="4" w:space="0"/>
              <w:right w:val="single" w:color="000000" w:sz="4" w:space="0"/>
            </w:tcBorders>
            <w:shd w:val="clear" w:color="auto" w:fill="auto"/>
            <w:vAlign w:val="center"/>
          </w:tcPr>
          <w:p w14:paraId="2B53DB8D">
            <w:pPr>
              <w:keepNext w:val="0"/>
              <w:keepLines w:val="0"/>
              <w:widowControl/>
              <w:suppressLineNumbers w:val="0"/>
              <w:jc w:val="center"/>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5</w:t>
            </w:r>
          </w:p>
        </w:tc>
        <w:tc>
          <w:tcPr>
            <w:tcW w:w="888" w:type="dxa"/>
            <w:tcBorders>
              <w:top w:val="single" w:color="000000" w:sz="4" w:space="0"/>
              <w:left w:val="single" w:color="000000" w:sz="4" w:space="0"/>
              <w:right w:val="single" w:color="000000" w:sz="4" w:space="0"/>
            </w:tcBorders>
            <w:shd w:val="clear" w:color="auto" w:fill="auto"/>
            <w:vAlign w:val="center"/>
          </w:tcPr>
          <w:p w14:paraId="353EF37A">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对河道管理范围内建设项目的监督检查</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297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对河道管理范围内建设项目的行政检查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A0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建设项目是否办理了涉河建设方案许可手续；是否按批准的建设方案进行建设等</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C6E2">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eastAsia="zh-CN"/>
              </w:rPr>
            </w:pPr>
            <w:r>
              <w:rPr>
                <w:rFonts w:hint="eastAsia" w:ascii="仿宋_GB2312" w:hAnsi="宋体" w:eastAsia="仿宋_GB2312" w:cs="仿宋_GB2312"/>
                <w:i w:val="0"/>
                <w:iCs w:val="0"/>
                <w:color w:val="auto"/>
                <w:kern w:val="0"/>
                <w:sz w:val="21"/>
                <w:szCs w:val="21"/>
                <w:u w:val="none"/>
                <w:lang w:val="en-US" w:eastAsia="zh-CN" w:bidi="ar"/>
              </w:rPr>
              <w:t>经批准的项目建设单位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2B0F">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一般</w:t>
            </w:r>
            <w:r>
              <w:rPr>
                <w:rFonts w:hint="eastAsia" w:ascii="仿宋_GB2312" w:hAnsi="宋体" w:eastAsia="仿宋_GB2312" w:cs="仿宋_GB2312"/>
                <w:i w:val="0"/>
                <w:iCs w:val="0"/>
                <w:color w:val="auto"/>
                <w:kern w:val="0"/>
                <w:sz w:val="21"/>
                <w:szCs w:val="21"/>
                <w:u w:val="none"/>
                <w:lang w:val="en-US" w:eastAsia="zh-CN" w:bidi="ar"/>
              </w:rPr>
              <w:t>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B4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BF4">
            <w:pPr>
              <w:keepNext w:val="0"/>
              <w:keepLines w:val="0"/>
              <w:widowControl/>
              <w:suppressLineNumbers w:val="0"/>
              <w:jc w:val="left"/>
              <w:textAlignment w:val="center"/>
              <w:rPr>
                <w:rFonts w:hint="eastAsia" w:ascii="仿宋_GB2312" w:hAnsi="宋体" w:eastAsia="仿宋_GB2312" w:cs="仿宋_GB2312"/>
                <w:i w:val="0"/>
                <w:iCs w:val="0"/>
                <w:color w:val="auto"/>
                <w:sz w:val="15"/>
                <w:szCs w:val="15"/>
                <w:highlight w:val="yellow"/>
                <w:u w:val="none"/>
                <w:lang w:val="en-US" w:eastAsia="zh-CN"/>
              </w:rPr>
            </w:pPr>
            <w:r>
              <w:rPr>
                <w:rFonts w:hint="eastAsia" w:ascii="仿宋_GB2312" w:hAnsi="宋体" w:eastAsia="仿宋_GB2312" w:cs="仿宋_GB2312"/>
                <w:i w:val="0"/>
                <w:iCs w:val="0"/>
                <w:color w:val="auto"/>
                <w:kern w:val="0"/>
                <w:sz w:val="21"/>
                <w:szCs w:val="21"/>
                <w:u w:val="none"/>
                <w:lang w:val="en-US" w:eastAsia="zh-CN" w:bidi="ar"/>
              </w:rPr>
              <w:t>全年抽查比例不低于5%，每年至少1次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FE1F">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310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1.《中华人民共和国防洪法》第二十八条。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2.《河道管理条例》第十四条。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3.《水利部、国家计委关于颁发&lt;河道管理范围内建设项目管理的有关规定&gt;的通知》第十三条。</w:t>
            </w:r>
          </w:p>
        </w:tc>
      </w:tr>
      <w:tr w14:paraId="1256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100">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078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对水利安全生产的监督检查</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892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对水利工程建设安全生产的行政检查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F43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安全生产目标职责、制度化管理、教育培训、现场管理、安全风险管控及隐患排查治理、应急管理、事故管理、持续改进等落实情况。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70A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lang w:eastAsia="zh-CN"/>
              </w:rPr>
            </w:pPr>
            <w:r>
              <w:rPr>
                <w:rFonts w:hint="eastAsia" w:ascii="仿宋_GB2312" w:hAnsi="宋体" w:eastAsia="仿宋_GB2312" w:cs="仿宋_GB2312"/>
                <w:i w:val="0"/>
                <w:iCs w:val="0"/>
                <w:color w:val="auto"/>
                <w:sz w:val="21"/>
                <w:szCs w:val="21"/>
                <w:u w:val="none"/>
                <w:lang w:eastAsia="zh-CN"/>
              </w:rPr>
              <w:t>重点水利工程项目</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7C7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B453">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6189">
            <w:pPr>
              <w:keepNext w:val="0"/>
              <w:keepLines w:val="0"/>
              <w:widowControl/>
              <w:suppressLineNumbers w:val="0"/>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全年抽查不低于10%，每年至少1次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1A8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FEC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1.《安全生产法》第九条、第六十二条。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2.《建设工程安全生产管理条例》第四十条、第四十三条。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3.《山东省安全生产条例》第三十一条。</w:t>
            </w:r>
            <w:r>
              <w:rPr>
                <w:rFonts w:hint="eastAsia" w:ascii="仿宋_GB2312" w:hAnsi="宋体" w:eastAsia="仿宋_GB2312" w:cs="仿宋_GB2312"/>
                <w:i w:val="0"/>
                <w:iCs w:val="0"/>
                <w:color w:val="auto"/>
                <w:kern w:val="0"/>
                <w:sz w:val="21"/>
                <w:szCs w:val="21"/>
                <w:u w:val="none"/>
                <w:lang w:val="en-US" w:eastAsia="zh-CN" w:bidi="ar"/>
              </w:rPr>
              <w:br w:type="textWrapping"/>
            </w:r>
            <w:r>
              <w:rPr>
                <w:rFonts w:hint="eastAsia" w:ascii="仿宋_GB2312" w:hAnsi="宋体" w:eastAsia="仿宋_GB2312" w:cs="仿宋_GB2312"/>
                <w:i w:val="0"/>
                <w:iCs w:val="0"/>
                <w:color w:val="auto"/>
                <w:kern w:val="0"/>
                <w:sz w:val="21"/>
                <w:szCs w:val="21"/>
                <w:u w:val="none"/>
                <w:lang w:val="en-US" w:eastAsia="zh-CN" w:bidi="ar"/>
              </w:rPr>
              <w:t>4.《水利工程建设安全生产管理规定》第二十六条。</w:t>
            </w:r>
          </w:p>
        </w:tc>
      </w:tr>
      <w:tr w14:paraId="1A5C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DEAD">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7</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CCF6">
            <w:pPr>
              <w:keepNext w:val="0"/>
              <w:keepLines w:val="0"/>
              <w:widowControl/>
              <w:suppressLineNumbers w:val="0"/>
              <w:jc w:val="left"/>
              <w:textAlignment w:val="center"/>
              <w:rPr>
                <w:rFonts w:hint="eastAsia" w:ascii="仿宋_GB2312" w:hAnsi="宋体" w:eastAsia="仿宋_GB2312" w:cs="仿宋_GB2312"/>
                <w:i w:val="0"/>
                <w:iCs w:val="0"/>
                <w:color w:val="auto"/>
                <w:kern w:val="2"/>
                <w:sz w:val="21"/>
                <w:szCs w:val="21"/>
                <w:highlight w:val="none"/>
                <w:u w:val="none"/>
                <w:lang w:val="en-US" w:eastAsia="zh-CN" w:bidi="ar-SA"/>
              </w:rPr>
            </w:pPr>
            <w:r>
              <w:rPr>
                <w:rFonts w:hint="eastAsia" w:ascii="仿宋_GB2312" w:hAnsi="宋体" w:eastAsia="仿宋_GB2312" w:cs="仿宋_GB2312"/>
                <w:i w:val="0"/>
                <w:iCs w:val="0"/>
                <w:color w:val="auto"/>
                <w:sz w:val="21"/>
                <w:szCs w:val="21"/>
                <w:highlight w:val="none"/>
                <w:u w:val="none"/>
                <w:lang w:eastAsia="zh-CN"/>
              </w:rPr>
              <w:t>对水利工程建设的监督检查</w:t>
            </w:r>
            <w:r>
              <w:rPr>
                <w:rFonts w:hint="eastAsia" w:ascii="仿宋_GB2312" w:hAnsi="宋体" w:eastAsia="仿宋_GB2312" w:cs="仿宋_GB2312"/>
                <w:i w:val="0"/>
                <w:iCs w:val="0"/>
                <w:color w:val="auto"/>
                <w:sz w:val="21"/>
                <w:szCs w:val="21"/>
                <w:highlight w:val="none"/>
                <w:u w:val="none"/>
                <w:lang w:eastAsia="zh-CN"/>
              </w:rPr>
              <w:fldChar w:fldCharType="begin"/>
            </w:r>
            <w:r>
              <w:rPr>
                <w:rFonts w:hint="eastAsia" w:ascii="仿宋_GB2312" w:hAnsi="宋体" w:eastAsia="仿宋_GB2312" w:cs="仿宋_GB2312"/>
                <w:i w:val="0"/>
                <w:iCs w:val="0"/>
                <w:color w:val="auto"/>
                <w:sz w:val="21"/>
                <w:szCs w:val="21"/>
                <w:highlight w:val="none"/>
                <w:u w:val="none"/>
                <w:lang w:eastAsia="zh-CN"/>
              </w:rPr>
              <w:instrText xml:space="preserve"> = 1 \* GB3 \* MERGEFORMAT </w:instrText>
            </w:r>
            <w:r>
              <w:rPr>
                <w:rFonts w:hint="eastAsia" w:ascii="仿宋_GB2312" w:hAnsi="宋体" w:eastAsia="仿宋_GB2312" w:cs="仿宋_GB2312"/>
                <w:i w:val="0"/>
                <w:iCs w:val="0"/>
                <w:color w:val="auto"/>
                <w:sz w:val="21"/>
                <w:szCs w:val="21"/>
                <w:highlight w:val="none"/>
                <w:u w:val="none"/>
                <w:lang w:eastAsia="zh-CN"/>
              </w:rPr>
              <w:fldChar w:fldCharType="separate"/>
            </w:r>
            <w:r>
              <w:rPr>
                <w:sz w:val="21"/>
                <w:szCs w:val="21"/>
                <w:highlight w:val="none"/>
              </w:rPr>
              <w:t>①</w:t>
            </w:r>
            <w:r>
              <w:rPr>
                <w:rFonts w:hint="eastAsia" w:ascii="仿宋_GB2312" w:hAnsi="宋体" w:eastAsia="仿宋_GB2312" w:cs="仿宋_GB2312"/>
                <w:i w:val="0"/>
                <w:iCs w:val="0"/>
                <w:color w:val="auto"/>
                <w:sz w:val="21"/>
                <w:szCs w:val="21"/>
                <w:highlight w:val="none"/>
                <w:u w:val="none"/>
                <w:lang w:eastAsia="zh-CN"/>
              </w:rPr>
              <w:fldChar w:fldCharType="end"/>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B1A">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对已批复水利基建项目初步设计文件的行政检查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A71A">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对由区级批复的水利基本建设项目初步设计的落实情况进行监督检查，对是否按照批复的初步设计开展后续工作进行监督检查，要求建设单位如实提供有关情况和资料。</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28FE">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项目法人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9E3">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重点检查事项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F90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现场检查、专业机构核查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1C7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全年抽查比例不低于5%，每年抽查1次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7EE5">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区（县）级水利部门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23A9">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《建设工程勘察设计管理条例》第五条。</w:t>
            </w:r>
          </w:p>
        </w:tc>
      </w:tr>
      <w:tr w14:paraId="6509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3242">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E9E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对水利工程建设的监督检查</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 2 \* GB3 \* MERGEFORMAT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sz w:val="21"/>
                <w:szCs w:val="21"/>
                <w:highlight w:val="none"/>
              </w:rPr>
              <w:t>②</w:t>
            </w:r>
            <w:r>
              <w:rPr>
                <w:rFonts w:hint="eastAsia" w:ascii="仿宋_GB2312" w:hAnsi="宋体" w:eastAsia="仿宋_GB2312" w:cs="仿宋_GB2312"/>
                <w:i w:val="0"/>
                <w:iCs w:val="0"/>
                <w:color w:val="auto"/>
                <w:kern w:val="0"/>
                <w:sz w:val="21"/>
                <w:szCs w:val="21"/>
                <w:highlight w:val="none"/>
                <w:u w:val="none"/>
                <w:lang w:val="en-US" w:eastAsia="zh-CN" w:bidi="ar"/>
              </w:rPr>
              <w:fldChar w:fldCharType="end"/>
            </w:r>
            <w:r>
              <w:rPr>
                <w:rFonts w:hint="eastAsia" w:ascii="仿宋_GB2312" w:hAnsi="宋体" w:eastAsia="仿宋_GB2312" w:cs="仿宋_GB2312"/>
                <w:i w:val="0"/>
                <w:iCs w:val="0"/>
                <w:color w:val="auto"/>
                <w:kern w:val="0"/>
                <w:sz w:val="21"/>
                <w:szCs w:val="21"/>
                <w:highlight w:val="none"/>
                <w:u w:val="none"/>
                <w:lang w:val="en-US" w:eastAsia="zh-CN" w:bidi="ar"/>
              </w:rPr>
              <w:t>；对水利工程建设项目招标投标活动的监督检查；对水利工程建设质量的监督检查</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3FC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对水利基本建设项目的行政检查、对电子招标投标活动的行政检查、对水利工程建设质量的监督检查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C4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执行基本建设程序、有关规章制度以及农民工、环保等规定情况、执行招投标法律法规情况、执行法律法规规章制度情况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CBBA">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由区政府、区水利局组建项目法人或局属单位直接实施的水利工程建设项目</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5D93">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F8A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现场检查或网络抽查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57D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601B">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区级水利部门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6FEF">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1.《水利工程建设项目管理规定（试行）》（1995年水建〔1995〕128号，2016年8月水利部令48号修改）第八条、第二十一条</w:t>
            </w:r>
          </w:p>
          <w:p w14:paraId="1D635967">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2.《中华人民共和国招标投标法》第七条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3.《中华人民共和国招标投标法实施条例》第四条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4.《山东省实施&lt;中华人民共和国招标投标法&gt;办法》第四条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5.《工程建设项目施工招标投标办法》第六条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6.《水利工程建设项目招标投标管理规定》第七条、第八条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7.《工程建设项目勘察设计招标投标办法》第六条</w:t>
            </w:r>
          </w:p>
          <w:p w14:paraId="7B6EB9CC">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8.《建设工程质量管理条例》第四条、第四十三条、第四十七条</w:t>
            </w:r>
            <w:r>
              <w:rPr>
                <w:rFonts w:hint="eastAsia" w:ascii="仿宋_GB2312" w:hAnsi="宋体" w:eastAsia="仿宋_GB2312" w:cs="仿宋_GB2312"/>
                <w:i w:val="0"/>
                <w:iCs w:val="0"/>
                <w:color w:val="auto"/>
                <w:kern w:val="0"/>
                <w:sz w:val="21"/>
                <w:szCs w:val="21"/>
                <w:highlight w:val="none"/>
                <w:u w:val="none"/>
                <w:lang w:val="en-US" w:eastAsia="zh-CN" w:bidi="ar"/>
              </w:rPr>
              <w:br w:type="textWrapping"/>
            </w:r>
            <w:r>
              <w:rPr>
                <w:rFonts w:hint="eastAsia" w:ascii="仿宋_GB2312" w:hAnsi="宋体" w:eastAsia="仿宋_GB2312" w:cs="仿宋_GB2312"/>
                <w:i w:val="0"/>
                <w:iCs w:val="0"/>
                <w:color w:val="auto"/>
                <w:kern w:val="0"/>
                <w:sz w:val="21"/>
                <w:szCs w:val="21"/>
                <w:highlight w:val="none"/>
                <w:u w:val="none"/>
                <w:lang w:val="en-US" w:eastAsia="zh-CN" w:bidi="ar"/>
              </w:rPr>
              <w:t>9.《水利工程质量管理规定》第五条、第十条</w:t>
            </w:r>
          </w:p>
        </w:tc>
      </w:tr>
      <w:tr w14:paraId="1958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2"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66A1">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9</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518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对水利建设市场的监督检查</w:t>
            </w:r>
            <w:r>
              <w:rPr>
                <w:rFonts w:hint="eastAsia" w:ascii="仿宋_GB2312" w:hAnsi="宋体" w:eastAsia="仿宋_GB2312" w:cs="仿宋_GB2312"/>
                <w:i w:val="0"/>
                <w:iCs w:val="0"/>
                <w:color w:val="auto"/>
                <w:sz w:val="21"/>
                <w:szCs w:val="21"/>
                <w:highlight w:val="none"/>
                <w:u w:val="none"/>
                <w:lang w:eastAsia="zh-CN"/>
              </w:rPr>
              <w:fldChar w:fldCharType="begin"/>
            </w:r>
            <w:r>
              <w:rPr>
                <w:rFonts w:hint="eastAsia" w:ascii="仿宋_GB2312" w:hAnsi="宋体" w:eastAsia="仿宋_GB2312" w:cs="仿宋_GB2312"/>
                <w:i w:val="0"/>
                <w:iCs w:val="0"/>
                <w:color w:val="auto"/>
                <w:sz w:val="21"/>
                <w:szCs w:val="21"/>
                <w:highlight w:val="none"/>
                <w:u w:val="none"/>
                <w:lang w:eastAsia="zh-CN"/>
              </w:rPr>
              <w:instrText xml:space="preserve"> = 1 \* GB3 \* MERGEFORMAT </w:instrText>
            </w:r>
            <w:r>
              <w:rPr>
                <w:rFonts w:hint="eastAsia" w:ascii="仿宋_GB2312" w:hAnsi="宋体" w:eastAsia="仿宋_GB2312" w:cs="仿宋_GB2312"/>
                <w:i w:val="0"/>
                <w:iCs w:val="0"/>
                <w:color w:val="auto"/>
                <w:sz w:val="21"/>
                <w:szCs w:val="21"/>
                <w:highlight w:val="none"/>
                <w:u w:val="none"/>
                <w:lang w:eastAsia="zh-CN"/>
              </w:rPr>
              <w:fldChar w:fldCharType="separate"/>
            </w:r>
            <w:r>
              <w:rPr>
                <w:sz w:val="21"/>
                <w:szCs w:val="21"/>
                <w:highlight w:val="none"/>
              </w:rPr>
              <w:t>①</w:t>
            </w:r>
            <w:r>
              <w:rPr>
                <w:rFonts w:hint="eastAsia" w:ascii="仿宋_GB2312" w:hAnsi="宋体" w:eastAsia="仿宋_GB2312" w:cs="仿宋_GB2312"/>
                <w:i w:val="0"/>
                <w:iCs w:val="0"/>
                <w:color w:val="auto"/>
                <w:sz w:val="21"/>
                <w:szCs w:val="21"/>
                <w:highlight w:val="none"/>
                <w:u w:val="none"/>
                <w:lang w:eastAsia="zh-CN"/>
              </w:rPr>
              <w:fldChar w:fldCharType="end"/>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99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对水利工程质量检测单位（乙级）的行政检查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1A8">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人员配备、技术管理和质量保证体系、场所环境、设备设施等情况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E2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周村区内水利工程质量检测单位（乙级）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D315">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132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E311">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抽查比例不低于30%，每年至少1次。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051">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区级水利部门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FE00">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1.《水利工程质量检测管理规定》第三条、第四条，第十三条至第三十条。2.《水利部关于发布水利工程质量检测单位资质等级标准的公告》3.《检验检测机构资质认定管理办法》4.《水利工程质量检测管理规范》</w:t>
            </w:r>
          </w:p>
        </w:tc>
      </w:tr>
      <w:tr w14:paraId="5F67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2"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047F">
            <w:pPr>
              <w:keepNext w:val="0"/>
              <w:keepLines w:val="0"/>
              <w:widowControl/>
              <w:suppressLineNumbers w:val="0"/>
              <w:jc w:val="center"/>
              <w:textAlignment w:val="center"/>
              <w:rPr>
                <w:rFonts w:hint="default" w:ascii="仿宋_GB2312" w:hAnsi="宋体" w:eastAsia="仿宋_GB2312" w:cs="仿宋_GB2312"/>
                <w:i w:val="0"/>
                <w:iCs w:val="0"/>
                <w:color w:val="auto"/>
                <w:sz w:val="21"/>
                <w:szCs w:val="21"/>
                <w:u w:val="none"/>
                <w:lang w:val="en-US"/>
              </w:rPr>
            </w:pPr>
            <w:r>
              <w:rPr>
                <w:rFonts w:hint="eastAsia" w:ascii="仿宋_GB2312" w:hAnsi="宋体" w:eastAsia="仿宋_GB2312" w:cs="仿宋_GB2312"/>
                <w:i w:val="0"/>
                <w:iCs w:val="0"/>
                <w:color w:val="auto"/>
                <w:kern w:val="0"/>
                <w:sz w:val="21"/>
                <w:szCs w:val="21"/>
                <w:u w:val="none"/>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5D1A">
            <w:pPr>
              <w:jc w:val="left"/>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对水利建设市场的监督检查</w:t>
            </w:r>
            <w:r>
              <w:rPr>
                <w:rFonts w:hint="eastAsia" w:ascii="仿宋_GB2312" w:hAnsi="宋体" w:eastAsia="仿宋_GB2312" w:cs="仿宋_GB2312"/>
                <w:i w:val="0"/>
                <w:iCs w:val="0"/>
                <w:color w:val="auto"/>
                <w:kern w:val="0"/>
                <w:sz w:val="21"/>
                <w:szCs w:val="21"/>
                <w:highlight w:val="none"/>
                <w:u w:val="none"/>
                <w:lang w:val="en-US" w:eastAsia="zh-CN" w:bidi="ar"/>
              </w:rPr>
              <w:fldChar w:fldCharType="begin"/>
            </w:r>
            <w:r>
              <w:rPr>
                <w:rFonts w:hint="eastAsia" w:ascii="仿宋_GB2312" w:hAnsi="宋体" w:eastAsia="仿宋_GB2312" w:cs="仿宋_GB2312"/>
                <w:i w:val="0"/>
                <w:iCs w:val="0"/>
                <w:color w:val="auto"/>
                <w:kern w:val="0"/>
                <w:sz w:val="21"/>
                <w:szCs w:val="21"/>
                <w:highlight w:val="none"/>
                <w:u w:val="none"/>
                <w:lang w:val="en-US" w:eastAsia="zh-CN" w:bidi="ar"/>
              </w:rPr>
              <w:instrText xml:space="preserve"> = 2 \* GB3 \* MERGEFORMAT </w:instrText>
            </w:r>
            <w:r>
              <w:rPr>
                <w:rFonts w:hint="eastAsia" w:ascii="仿宋_GB2312" w:hAnsi="宋体" w:eastAsia="仿宋_GB2312" w:cs="仿宋_GB2312"/>
                <w:i w:val="0"/>
                <w:iCs w:val="0"/>
                <w:color w:val="auto"/>
                <w:kern w:val="0"/>
                <w:sz w:val="21"/>
                <w:szCs w:val="21"/>
                <w:highlight w:val="none"/>
                <w:u w:val="none"/>
                <w:lang w:val="en-US" w:eastAsia="zh-CN" w:bidi="ar"/>
              </w:rPr>
              <w:fldChar w:fldCharType="separate"/>
            </w:r>
            <w:r>
              <w:rPr>
                <w:sz w:val="21"/>
                <w:szCs w:val="21"/>
                <w:highlight w:val="none"/>
              </w:rPr>
              <w:t>②</w:t>
            </w:r>
            <w:r>
              <w:rPr>
                <w:rFonts w:hint="eastAsia" w:ascii="仿宋_GB2312" w:hAnsi="宋体" w:eastAsia="仿宋_GB2312" w:cs="仿宋_GB2312"/>
                <w:i w:val="0"/>
                <w:iCs w:val="0"/>
                <w:color w:val="auto"/>
                <w:kern w:val="0"/>
                <w:sz w:val="21"/>
                <w:szCs w:val="21"/>
                <w:highlight w:val="none"/>
                <w:u w:val="none"/>
                <w:lang w:val="en-US" w:eastAsia="zh-CN" w:bidi="ar"/>
              </w:rPr>
              <w:fldChar w:fldCharType="end"/>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C94">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对水利工程质量检测员的行政检查、对监理工程师执业资格的行政检查</w:t>
            </w:r>
          </w:p>
        </w:tc>
        <w:tc>
          <w:tcPr>
            <w:tcW w:w="2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CB70">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质量检测员执行法律、法规等情况</w:t>
            </w:r>
          </w:p>
          <w:p w14:paraId="38C1381B">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监理工程师执行法律、法规等情况</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3184">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由区政府、区水利局组建项目法人或局属单位直接实施的水利工程建设项目</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57D7">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一般检查事项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C47A">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现场检查或网络抽查</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39E9">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全年抽查比例为5%，每年至少抽查1次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4562">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市级水利部门</w:t>
            </w:r>
          </w:p>
        </w:tc>
        <w:tc>
          <w:tcPr>
            <w:tcW w:w="4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91AC">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《水利工程质量检测管理规定》第三条、第四条、第十五条、第十六条、第十七条。</w:t>
            </w:r>
          </w:p>
          <w:p w14:paraId="17DF4C98">
            <w:pPr>
              <w:keepNext w:val="0"/>
              <w:keepLines w:val="0"/>
              <w:widowControl/>
              <w:suppressLineNumbers w:val="0"/>
              <w:jc w:val="left"/>
              <w:textAlignment w:val="center"/>
              <w:rPr>
                <w:rFonts w:hint="eastAsia" w:ascii="仿宋_GB2312" w:hAnsi="宋体" w:eastAsia="仿宋_GB2312" w:cs="仿宋_GB2312"/>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《水利工程建设监理规定》第八条、第九条、第十三条、第十四条、第十五条、第十七条、第十八条。</w:t>
            </w:r>
          </w:p>
          <w:p w14:paraId="71AFDCAF">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《监理工程师职业资格制度规定》第十三条、第十五条、第十七条、第十八条、第二十一条至第二十四条。</w:t>
            </w:r>
          </w:p>
        </w:tc>
      </w:tr>
    </w:tbl>
    <w:p w14:paraId="57E39AC7">
      <w:pPr>
        <w:rPr>
          <w:sz w:val="21"/>
          <w:szCs w:val="21"/>
        </w:rPr>
      </w:pPr>
    </w:p>
    <w:p w14:paraId="5FDAAA55">
      <w:pPr>
        <w:bidi w:val="0"/>
        <w:jc w:val="both"/>
      </w:pPr>
    </w:p>
    <w:sectPr>
      <w:footerReference r:id="rId3" w:type="default"/>
      <w:pgSz w:w="16838" w:h="11906" w:orient="landscape"/>
      <w:pgMar w:top="1440" w:right="1418" w:bottom="1440" w:left="1560" w:header="851" w:footer="992" w:gutter="0"/>
      <w:pgBorders>
        <w:top w:val="none" w:sz="0" w:space="0"/>
        <w:left w:val="none" w:sz="0" w:space="0"/>
        <w:bottom w:val="none" w:sz="0" w:space="0"/>
        <w:right w:val="none" w:sz="0" w:space="0"/>
      </w:pgBorders>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631E938-8AC4-4A8E-B7ED-85BF4C8A8AE3}"/>
  </w:font>
  <w:font w:name="仿宋_GB2312">
    <w:panose1 w:val="02010609030101010101"/>
    <w:charset w:val="86"/>
    <w:family w:val="auto"/>
    <w:pitch w:val="default"/>
    <w:sig w:usb0="00000001" w:usb1="080E0000" w:usb2="00000000" w:usb3="00000000" w:csb0="00040000" w:csb1="00000000"/>
    <w:embedRegular r:id="rId2" w:fontKey="{CA4CA3BB-93F2-4E66-AFCD-DD7975803209}"/>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235BB54D-2D7D-4896-9D77-52867AA672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C736">
    <w:pPr>
      <w:pStyle w:val="7"/>
    </w:pPr>
    <w:r>
      <w:rPr>
        <w:sz w:val="18"/>
      </w:rPr>
      <w:pict>
        <v:shape id="_x0000_s3084" o:spid="_x0000_s308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9206130">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1YTZlNjkwNmQwMjhiMGRmZjkyZjQ2YTNlMDdlOTQifQ=="/>
  </w:docVars>
  <w:rsids>
    <w:rsidRoot w:val="371002F3"/>
    <w:rsid w:val="0000371D"/>
    <w:rsid w:val="00012EA4"/>
    <w:rsid w:val="0004514E"/>
    <w:rsid w:val="0004635D"/>
    <w:rsid w:val="0007360C"/>
    <w:rsid w:val="000A4DF5"/>
    <w:rsid w:val="000E0148"/>
    <w:rsid w:val="000F4B09"/>
    <w:rsid w:val="00103DBE"/>
    <w:rsid w:val="001441A9"/>
    <w:rsid w:val="00161B79"/>
    <w:rsid w:val="001968ED"/>
    <w:rsid w:val="001A654B"/>
    <w:rsid w:val="00215A80"/>
    <w:rsid w:val="0022018E"/>
    <w:rsid w:val="002236C0"/>
    <w:rsid w:val="00282FB9"/>
    <w:rsid w:val="002903F4"/>
    <w:rsid w:val="002A5761"/>
    <w:rsid w:val="002C10D1"/>
    <w:rsid w:val="002C4732"/>
    <w:rsid w:val="002D3D38"/>
    <w:rsid w:val="002D4602"/>
    <w:rsid w:val="002E0EA8"/>
    <w:rsid w:val="002F4B5C"/>
    <w:rsid w:val="003044A1"/>
    <w:rsid w:val="00335CF7"/>
    <w:rsid w:val="0033783D"/>
    <w:rsid w:val="00345651"/>
    <w:rsid w:val="003576E1"/>
    <w:rsid w:val="003624EB"/>
    <w:rsid w:val="003816EF"/>
    <w:rsid w:val="00381ABF"/>
    <w:rsid w:val="003A09BF"/>
    <w:rsid w:val="003A686E"/>
    <w:rsid w:val="003F541F"/>
    <w:rsid w:val="0040474A"/>
    <w:rsid w:val="0040619A"/>
    <w:rsid w:val="004278F0"/>
    <w:rsid w:val="004315E4"/>
    <w:rsid w:val="004413A6"/>
    <w:rsid w:val="00446274"/>
    <w:rsid w:val="004468EF"/>
    <w:rsid w:val="00472434"/>
    <w:rsid w:val="004725FD"/>
    <w:rsid w:val="00472C5B"/>
    <w:rsid w:val="00485E29"/>
    <w:rsid w:val="0049148E"/>
    <w:rsid w:val="004B064F"/>
    <w:rsid w:val="00517D21"/>
    <w:rsid w:val="005376A0"/>
    <w:rsid w:val="005B5DF6"/>
    <w:rsid w:val="005D19A9"/>
    <w:rsid w:val="005F29EE"/>
    <w:rsid w:val="00601483"/>
    <w:rsid w:val="00641CFB"/>
    <w:rsid w:val="006800DB"/>
    <w:rsid w:val="00682326"/>
    <w:rsid w:val="006B0D9C"/>
    <w:rsid w:val="006C0434"/>
    <w:rsid w:val="006D567D"/>
    <w:rsid w:val="007105B3"/>
    <w:rsid w:val="00714F6E"/>
    <w:rsid w:val="00717BC4"/>
    <w:rsid w:val="00736174"/>
    <w:rsid w:val="007568D1"/>
    <w:rsid w:val="00756D71"/>
    <w:rsid w:val="00760DF1"/>
    <w:rsid w:val="007631CF"/>
    <w:rsid w:val="007660A9"/>
    <w:rsid w:val="007934D3"/>
    <w:rsid w:val="007A53A9"/>
    <w:rsid w:val="007B2FDF"/>
    <w:rsid w:val="007D0C4F"/>
    <w:rsid w:val="007D3FC9"/>
    <w:rsid w:val="007E36E9"/>
    <w:rsid w:val="00823C36"/>
    <w:rsid w:val="008255D2"/>
    <w:rsid w:val="00847B5F"/>
    <w:rsid w:val="00854584"/>
    <w:rsid w:val="0087103E"/>
    <w:rsid w:val="00885624"/>
    <w:rsid w:val="008962CC"/>
    <w:rsid w:val="008E6F7B"/>
    <w:rsid w:val="00942D0F"/>
    <w:rsid w:val="00957AB6"/>
    <w:rsid w:val="00960292"/>
    <w:rsid w:val="009D3203"/>
    <w:rsid w:val="009D33A3"/>
    <w:rsid w:val="009F77EF"/>
    <w:rsid w:val="00A25BA8"/>
    <w:rsid w:val="00A617D7"/>
    <w:rsid w:val="00A62D8F"/>
    <w:rsid w:val="00A65A57"/>
    <w:rsid w:val="00A72317"/>
    <w:rsid w:val="00A932E9"/>
    <w:rsid w:val="00AA05E2"/>
    <w:rsid w:val="00AC359D"/>
    <w:rsid w:val="00AC4507"/>
    <w:rsid w:val="00AC57B5"/>
    <w:rsid w:val="00B463AF"/>
    <w:rsid w:val="00B71895"/>
    <w:rsid w:val="00B7245A"/>
    <w:rsid w:val="00B7684F"/>
    <w:rsid w:val="00C36896"/>
    <w:rsid w:val="00CB55D0"/>
    <w:rsid w:val="00CC30AA"/>
    <w:rsid w:val="00CD70C4"/>
    <w:rsid w:val="00CE33B4"/>
    <w:rsid w:val="00CE76B9"/>
    <w:rsid w:val="00CF149C"/>
    <w:rsid w:val="00D20B5A"/>
    <w:rsid w:val="00D40FC7"/>
    <w:rsid w:val="00D72E1F"/>
    <w:rsid w:val="00D94A60"/>
    <w:rsid w:val="00DA5C53"/>
    <w:rsid w:val="00DC4018"/>
    <w:rsid w:val="00DD3EBF"/>
    <w:rsid w:val="00DE359C"/>
    <w:rsid w:val="00E01FE6"/>
    <w:rsid w:val="00E104CC"/>
    <w:rsid w:val="00E43D09"/>
    <w:rsid w:val="00E63965"/>
    <w:rsid w:val="00E8096E"/>
    <w:rsid w:val="00E876B5"/>
    <w:rsid w:val="00E9380D"/>
    <w:rsid w:val="00E95140"/>
    <w:rsid w:val="00E96703"/>
    <w:rsid w:val="00EE7BF8"/>
    <w:rsid w:val="00EF1102"/>
    <w:rsid w:val="00EF606D"/>
    <w:rsid w:val="00F06DCA"/>
    <w:rsid w:val="00F1611F"/>
    <w:rsid w:val="00F22D39"/>
    <w:rsid w:val="00F2692B"/>
    <w:rsid w:val="00F26E77"/>
    <w:rsid w:val="00F47F23"/>
    <w:rsid w:val="00F52353"/>
    <w:rsid w:val="00F54F5B"/>
    <w:rsid w:val="00F61818"/>
    <w:rsid w:val="00F61B77"/>
    <w:rsid w:val="00F76733"/>
    <w:rsid w:val="00F86BD5"/>
    <w:rsid w:val="00F9196B"/>
    <w:rsid w:val="00FB0803"/>
    <w:rsid w:val="00FC5074"/>
    <w:rsid w:val="00FC6A80"/>
    <w:rsid w:val="00FC72BE"/>
    <w:rsid w:val="00FD4E45"/>
    <w:rsid w:val="01160F66"/>
    <w:rsid w:val="01444DD9"/>
    <w:rsid w:val="018342DD"/>
    <w:rsid w:val="01C95043"/>
    <w:rsid w:val="01F171F5"/>
    <w:rsid w:val="02E138DC"/>
    <w:rsid w:val="02E60BEF"/>
    <w:rsid w:val="035E11A7"/>
    <w:rsid w:val="036345F9"/>
    <w:rsid w:val="03B967BA"/>
    <w:rsid w:val="03C020B7"/>
    <w:rsid w:val="03C142B6"/>
    <w:rsid w:val="04380A7C"/>
    <w:rsid w:val="045C4274"/>
    <w:rsid w:val="059F6816"/>
    <w:rsid w:val="08F66DC1"/>
    <w:rsid w:val="096009EF"/>
    <w:rsid w:val="0B5215FF"/>
    <w:rsid w:val="0B576A31"/>
    <w:rsid w:val="0B8C3C13"/>
    <w:rsid w:val="0BBA59F6"/>
    <w:rsid w:val="0C2B45A8"/>
    <w:rsid w:val="0CE46C9C"/>
    <w:rsid w:val="0D23491D"/>
    <w:rsid w:val="0D612203"/>
    <w:rsid w:val="0E1F0038"/>
    <w:rsid w:val="0E567261"/>
    <w:rsid w:val="0E6652FE"/>
    <w:rsid w:val="0EC0632A"/>
    <w:rsid w:val="0F056591"/>
    <w:rsid w:val="0F293D6D"/>
    <w:rsid w:val="0F7756BB"/>
    <w:rsid w:val="0FCB3337"/>
    <w:rsid w:val="12503FC7"/>
    <w:rsid w:val="126A5144"/>
    <w:rsid w:val="12EC1E72"/>
    <w:rsid w:val="12F605AB"/>
    <w:rsid w:val="131B58EC"/>
    <w:rsid w:val="13410594"/>
    <w:rsid w:val="14184FB8"/>
    <w:rsid w:val="142628CB"/>
    <w:rsid w:val="15BE773A"/>
    <w:rsid w:val="16417614"/>
    <w:rsid w:val="1754367D"/>
    <w:rsid w:val="1912647A"/>
    <w:rsid w:val="19155D1B"/>
    <w:rsid w:val="192148C8"/>
    <w:rsid w:val="1927502A"/>
    <w:rsid w:val="192F7E27"/>
    <w:rsid w:val="1B435068"/>
    <w:rsid w:val="1B5A7C65"/>
    <w:rsid w:val="1C155B9F"/>
    <w:rsid w:val="1CEB6F4E"/>
    <w:rsid w:val="1E241183"/>
    <w:rsid w:val="1EAC4C7B"/>
    <w:rsid w:val="1F4202D5"/>
    <w:rsid w:val="21FD1157"/>
    <w:rsid w:val="22AC349C"/>
    <w:rsid w:val="234E4553"/>
    <w:rsid w:val="23A6050A"/>
    <w:rsid w:val="246A3ACB"/>
    <w:rsid w:val="24A47A11"/>
    <w:rsid w:val="2535630A"/>
    <w:rsid w:val="25924832"/>
    <w:rsid w:val="293B68B2"/>
    <w:rsid w:val="2944274D"/>
    <w:rsid w:val="29940EA0"/>
    <w:rsid w:val="2B7B0A2E"/>
    <w:rsid w:val="2B805731"/>
    <w:rsid w:val="2B984192"/>
    <w:rsid w:val="2BE77795"/>
    <w:rsid w:val="2CFC73EC"/>
    <w:rsid w:val="2D67693D"/>
    <w:rsid w:val="2DCB66B1"/>
    <w:rsid w:val="2E816674"/>
    <w:rsid w:val="2EA75C56"/>
    <w:rsid w:val="2F6A6270"/>
    <w:rsid w:val="2FBA446E"/>
    <w:rsid w:val="305667F5"/>
    <w:rsid w:val="30C67313"/>
    <w:rsid w:val="326E0781"/>
    <w:rsid w:val="331D41C6"/>
    <w:rsid w:val="347545A1"/>
    <w:rsid w:val="34780B0C"/>
    <w:rsid w:val="35037688"/>
    <w:rsid w:val="35B446E9"/>
    <w:rsid w:val="36341386"/>
    <w:rsid w:val="371002F3"/>
    <w:rsid w:val="371D1A84"/>
    <w:rsid w:val="3772652F"/>
    <w:rsid w:val="37987CFB"/>
    <w:rsid w:val="379E65D6"/>
    <w:rsid w:val="397B6799"/>
    <w:rsid w:val="399A3BB8"/>
    <w:rsid w:val="3A051A77"/>
    <w:rsid w:val="3A06303A"/>
    <w:rsid w:val="3C0E3CE8"/>
    <w:rsid w:val="3C1771A5"/>
    <w:rsid w:val="3C710B39"/>
    <w:rsid w:val="3D0B3D5A"/>
    <w:rsid w:val="3D2D0EEC"/>
    <w:rsid w:val="3EA93D1D"/>
    <w:rsid w:val="3F867DC6"/>
    <w:rsid w:val="40A135F3"/>
    <w:rsid w:val="41CB1F59"/>
    <w:rsid w:val="42C27294"/>
    <w:rsid w:val="45685E31"/>
    <w:rsid w:val="45736EDE"/>
    <w:rsid w:val="469559DB"/>
    <w:rsid w:val="477140C4"/>
    <w:rsid w:val="48316DCF"/>
    <w:rsid w:val="487970CD"/>
    <w:rsid w:val="487A6B4F"/>
    <w:rsid w:val="48A2362B"/>
    <w:rsid w:val="48CD4373"/>
    <w:rsid w:val="48F67BC6"/>
    <w:rsid w:val="4B4F786C"/>
    <w:rsid w:val="4B553E21"/>
    <w:rsid w:val="4BFA6AB7"/>
    <w:rsid w:val="4CF77C53"/>
    <w:rsid w:val="4DFA0CB0"/>
    <w:rsid w:val="4EE94FAC"/>
    <w:rsid w:val="4F1E08DD"/>
    <w:rsid w:val="4FAF46A3"/>
    <w:rsid w:val="4FDA48F5"/>
    <w:rsid w:val="516B55E6"/>
    <w:rsid w:val="51CA23E4"/>
    <w:rsid w:val="52F61A46"/>
    <w:rsid w:val="54CD4A28"/>
    <w:rsid w:val="54E54F02"/>
    <w:rsid w:val="550A5C7C"/>
    <w:rsid w:val="553E36B6"/>
    <w:rsid w:val="553F42BF"/>
    <w:rsid w:val="55EE2741"/>
    <w:rsid w:val="56B72852"/>
    <w:rsid w:val="57623EFA"/>
    <w:rsid w:val="57956BF9"/>
    <w:rsid w:val="57FD3FEF"/>
    <w:rsid w:val="583A51D1"/>
    <w:rsid w:val="58FB237B"/>
    <w:rsid w:val="5A5907CA"/>
    <w:rsid w:val="5BCA2E0A"/>
    <w:rsid w:val="5CD31049"/>
    <w:rsid w:val="5CE323F2"/>
    <w:rsid w:val="5E2E6B91"/>
    <w:rsid w:val="5F2650AB"/>
    <w:rsid w:val="5FD17AC2"/>
    <w:rsid w:val="605D0AF5"/>
    <w:rsid w:val="613D2CC9"/>
    <w:rsid w:val="61883950"/>
    <w:rsid w:val="61C60D5B"/>
    <w:rsid w:val="63631BBE"/>
    <w:rsid w:val="64407D86"/>
    <w:rsid w:val="64C574CA"/>
    <w:rsid w:val="65B04448"/>
    <w:rsid w:val="65D26342"/>
    <w:rsid w:val="65EA2CD3"/>
    <w:rsid w:val="667A41EF"/>
    <w:rsid w:val="667F4344"/>
    <w:rsid w:val="66CF3FDE"/>
    <w:rsid w:val="66DB2FD4"/>
    <w:rsid w:val="67046310"/>
    <w:rsid w:val="670D1B08"/>
    <w:rsid w:val="67273F7A"/>
    <w:rsid w:val="6944683F"/>
    <w:rsid w:val="69BD6509"/>
    <w:rsid w:val="69DC778F"/>
    <w:rsid w:val="6A513F34"/>
    <w:rsid w:val="6A9E10A8"/>
    <w:rsid w:val="6AAD5E11"/>
    <w:rsid w:val="6B382EB2"/>
    <w:rsid w:val="6E301C1A"/>
    <w:rsid w:val="6E6B080A"/>
    <w:rsid w:val="6E6C37DB"/>
    <w:rsid w:val="6E740745"/>
    <w:rsid w:val="6EFD73A5"/>
    <w:rsid w:val="6F31437C"/>
    <w:rsid w:val="70E860CF"/>
    <w:rsid w:val="71105B0B"/>
    <w:rsid w:val="72C61A39"/>
    <w:rsid w:val="730A5683"/>
    <w:rsid w:val="74BA3C83"/>
    <w:rsid w:val="74F00C2C"/>
    <w:rsid w:val="750D091A"/>
    <w:rsid w:val="754449AA"/>
    <w:rsid w:val="75777E72"/>
    <w:rsid w:val="75BD43D3"/>
    <w:rsid w:val="75E86C6F"/>
    <w:rsid w:val="7610256F"/>
    <w:rsid w:val="7767267A"/>
    <w:rsid w:val="78180056"/>
    <w:rsid w:val="7831514A"/>
    <w:rsid w:val="788A0401"/>
    <w:rsid w:val="78DC76CE"/>
    <w:rsid w:val="7A6175EF"/>
    <w:rsid w:val="7B66335D"/>
    <w:rsid w:val="7B8D6476"/>
    <w:rsid w:val="7BFA58C8"/>
    <w:rsid w:val="7CA04657"/>
    <w:rsid w:val="7CBB5756"/>
    <w:rsid w:val="7D5621F3"/>
    <w:rsid w:val="7D89043C"/>
    <w:rsid w:val="7EA64A67"/>
    <w:rsid w:val="7ED54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spacing w:line="520" w:lineRule="exact"/>
      <w:ind w:firstLine="570" w:firstLineChars="200"/>
    </w:pPr>
    <w:rPr>
      <w:rFonts w:ascii="Times New Roman" w:hAnsi="Times New Roman" w:eastAsia="仿宋_GB2312"/>
      <w:kern w:val="0"/>
      <w:sz w:val="28"/>
      <w:szCs w:val="24"/>
    </w:rPr>
  </w:style>
  <w:style w:type="paragraph" w:styleId="4">
    <w:name w:val="Plain Text"/>
    <w:basedOn w:val="1"/>
    <w:link w:val="26"/>
    <w:unhideWhenUsed/>
    <w:qFormat/>
    <w:uiPriority w:val="0"/>
    <w:rPr>
      <w:rFonts w:ascii="宋体" w:hAnsi="Courier New" w:eastAsia="宋体" w:cs="Courier New"/>
      <w:sz w:val="21"/>
      <w:szCs w:val="21"/>
    </w:rPr>
  </w:style>
  <w:style w:type="paragraph" w:styleId="5">
    <w:name w:val="Date"/>
    <w:basedOn w:val="1"/>
    <w:next w:val="1"/>
    <w:link w:val="24"/>
    <w:qFormat/>
    <w:uiPriority w:val="0"/>
    <w:pPr>
      <w:ind w:left="100" w:leftChars="25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3"/>
    <w:next w:val="1"/>
    <w:qFormat/>
    <w:uiPriority w:val="0"/>
    <w:pPr>
      <w:spacing w:after="120" w:line="240" w:lineRule="auto"/>
      <w:ind w:left="420" w:leftChars="200" w:firstLine="420"/>
    </w:pPr>
    <w:rPr>
      <w:rFonts w:eastAsia="宋体"/>
      <w:sz w:val="21"/>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rPr>
  </w:style>
  <w:style w:type="paragraph" w:customStyle="1" w:styleId="17">
    <w:name w:val="Char"/>
    <w:basedOn w:val="18"/>
    <w:qFormat/>
    <w:uiPriority w:val="0"/>
    <w:pPr>
      <w:tabs>
        <w:tab w:val="left" w:pos="600"/>
      </w:tabs>
      <w:ind w:left="600" w:hanging="600"/>
    </w:pPr>
  </w:style>
  <w:style w:type="paragraph" w:customStyle="1" w:styleId="18">
    <w:name w:val="正文 New New New New New New"/>
    <w:qFormat/>
    <w:uiPriority w:val="0"/>
    <w:pPr>
      <w:widowControl w:val="0"/>
      <w:jc w:val="both"/>
    </w:pPr>
    <w:rPr>
      <w:rFonts w:ascii="Calibri" w:hAnsi="Calibri" w:eastAsia="宋体" w:cstheme="minorBidi"/>
      <w:kern w:val="2"/>
      <w:sz w:val="21"/>
      <w:szCs w:val="24"/>
      <w:lang w:val="en-US" w:eastAsia="zh-CN" w:bidi="ar-SA"/>
    </w:rPr>
  </w:style>
  <w:style w:type="paragraph" w:customStyle="1" w:styleId="19">
    <w:name w:val="正文 New New"/>
    <w:qFormat/>
    <w:uiPriority w:val="0"/>
    <w:pPr>
      <w:widowControl w:val="0"/>
      <w:jc w:val="both"/>
    </w:pPr>
    <w:rPr>
      <w:rFonts w:ascii="Calibri" w:hAnsi="Calibri" w:eastAsia="仿宋_GB2312" w:cstheme="minorBidi"/>
      <w:bCs/>
      <w:spacing w:val="-8"/>
      <w:kern w:val="2"/>
      <w:sz w:val="32"/>
      <w:szCs w:val="32"/>
      <w:lang w:val="en-US" w:eastAsia="zh-CN" w:bidi="ar-SA"/>
    </w:rPr>
  </w:style>
  <w:style w:type="paragraph" w:customStyle="1" w:styleId="20">
    <w:name w:val="Char Char Char Char Char Char Char Char Char"/>
    <w:basedOn w:val="19"/>
    <w:qFormat/>
    <w:uiPriority w:val="0"/>
    <w:pPr>
      <w:widowControl/>
      <w:spacing w:after="160" w:line="240" w:lineRule="exact"/>
      <w:jc w:val="left"/>
    </w:pPr>
    <w:rPr>
      <w:rFonts w:ascii="Times New Roman" w:hAnsi="Times New Roman" w:eastAsia="宋体" w:cs="Times New Roman"/>
      <w:bCs w:val="0"/>
      <w:spacing w:val="0"/>
      <w:sz w:val="21"/>
      <w:szCs w:val="24"/>
    </w:rPr>
  </w:style>
  <w:style w:type="character" w:customStyle="1" w:styleId="21">
    <w:name w:val="批注框文本 Char"/>
    <w:basedOn w:val="14"/>
    <w:link w:val="6"/>
    <w:qFormat/>
    <w:uiPriority w:val="0"/>
    <w:rPr>
      <w:rFonts w:asciiTheme="minorHAnsi" w:hAnsiTheme="minorHAnsi" w:eastAsiaTheme="minorEastAsia"/>
      <w:kern w:val="2"/>
      <w:sz w:val="18"/>
      <w:szCs w:val="18"/>
    </w:rPr>
  </w:style>
  <w:style w:type="paragraph" w:customStyle="1" w:styleId="22">
    <w:name w:val="p0"/>
    <w:basedOn w:val="1"/>
    <w:qFormat/>
    <w:uiPriority w:val="0"/>
    <w:pPr>
      <w:widowControl/>
      <w:spacing w:before="100" w:beforeAutospacing="1" w:after="100" w:afterAutospacing="1"/>
      <w:ind w:firstLine="480"/>
      <w:jc w:val="left"/>
    </w:pPr>
    <w:rPr>
      <w:rFonts w:ascii="ˎ̥" w:hAnsi="ˎ̥" w:eastAsia="宋体" w:cs="宋体"/>
      <w:kern w:val="0"/>
      <w:sz w:val="24"/>
      <w:szCs w:val="20"/>
    </w:rPr>
  </w:style>
  <w:style w:type="character" w:customStyle="1" w:styleId="23">
    <w:name w:val="页眉 Char"/>
    <w:link w:val="8"/>
    <w:qFormat/>
    <w:uiPriority w:val="0"/>
    <w:rPr>
      <w:rFonts w:asciiTheme="minorHAnsi" w:hAnsiTheme="minorHAnsi" w:eastAsiaTheme="minorEastAsia"/>
      <w:kern w:val="2"/>
      <w:sz w:val="18"/>
      <w:szCs w:val="32"/>
    </w:rPr>
  </w:style>
  <w:style w:type="character" w:customStyle="1" w:styleId="24">
    <w:name w:val="日期 Char"/>
    <w:basedOn w:val="14"/>
    <w:link w:val="5"/>
    <w:qFormat/>
    <w:uiPriority w:val="0"/>
    <w:rPr>
      <w:rFonts w:asciiTheme="minorHAnsi" w:hAnsiTheme="minorHAnsi" w:eastAsiaTheme="minorEastAsia"/>
      <w:kern w:val="2"/>
      <w:sz w:val="32"/>
      <w:szCs w:val="32"/>
    </w:rPr>
  </w:style>
  <w:style w:type="paragraph" w:customStyle="1" w:styleId="25">
    <w:name w:val="Heading #2|1"/>
    <w:basedOn w:val="1"/>
    <w:qFormat/>
    <w:uiPriority w:val="0"/>
    <w:pPr>
      <w:spacing w:after="250"/>
      <w:jc w:val="center"/>
      <w:outlineLvl w:val="1"/>
    </w:pPr>
    <w:rPr>
      <w:rFonts w:ascii="宋体" w:hAnsi="宋体" w:eastAsia="宋体" w:cs="宋体"/>
      <w:color w:val="1F2022"/>
      <w:kern w:val="0"/>
      <w:sz w:val="44"/>
      <w:szCs w:val="44"/>
      <w:lang w:val="zh-TW" w:eastAsia="zh-TW" w:bidi="zh-TW"/>
    </w:rPr>
  </w:style>
  <w:style w:type="character" w:customStyle="1" w:styleId="26">
    <w:name w:val="纯文本 Char"/>
    <w:basedOn w:val="14"/>
    <w:link w:val="4"/>
    <w:qFormat/>
    <w:uiPriority w:val="99"/>
    <w:rPr>
      <w:rFonts w:ascii="宋体" w:hAnsi="Courier New" w:cs="Courier New"/>
      <w:kern w:val="2"/>
      <w:sz w:val="21"/>
      <w:szCs w:val="21"/>
    </w:rPr>
  </w:style>
  <w:style w:type="paragraph" w:customStyle="1" w:styleId="27">
    <w:name w:val="Heading #1|1"/>
    <w:basedOn w:val="1"/>
    <w:qFormat/>
    <w:uiPriority w:val="0"/>
    <w:pPr>
      <w:spacing w:before="950" w:after="500"/>
      <w:jc w:val="center"/>
      <w:outlineLvl w:val="0"/>
    </w:pPr>
    <w:rPr>
      <w:rFonts w:ascii="宋体" w:hAnsi="宋体" w:cs="宋体"/>
      <w:kern w:val="0"/>
      <w:sz w:val="34"/>
      <w:szCs w:val="34"/>
      <w:lang w:val="zh-CN" w:bidi="zh-CN"/>
    </w:rPr>
  </w:style>
  <w:style w:type="paragraph" w:customStyle="1" w:styleId="28">
    <w:name w:val="Body text|1"/>
    <w:basedOn w:val="1"/>
    <w:qFormat/>
    <w:uiPriority w:val="0"/>
    <w:pPr>
      <w:spacing w:line="319" w:lineRule="auto"/>
      <w:ind w:firstLine="400"/>
      <w:jc w:val="left"/>
    </w:pPr>
    <w:rPr>
      <w:rFonts w:ascii="宋体" w:hAnsi="宋体" w:cs="宋体"/>
      <w:kern w:val="0"/>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84"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20BBA-B5EF-4B7A-9A4B-95D5C6563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3076</Words>
  <Characters>3166</Characters>
  <Lines>18</Lines>
  <Paragraphs>5</Paragraphs>
  <TotalTime>28</TotalTime>
  <ScaleCrop>false</ScaleCrop>
  <LinksUpToDate>false</LinksUpToDate>
  <CharactersWithSpaces>3180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2020-12-08T06:11:00Z</dcterms:created>
  <dc:creator>散步者</dc:creator>
  <cp:lastModifiedBy>杨小林</cp:lastModifiedBy>
  <cp:lastPrinted>2023-12-13T06:01:00Z</cp:lastPrinted>
  <dcterms:modified xsi:type="dcterms:W3CDTF">2025-05-23T06:38:57Z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D7A0772CBB0044439B3FEDDE137162C6</vt:lpwstr>
  </property>
  <property fmtid="{D5CDD505-2E9C-101B-9397-08002B2CF9AE}" pid="4" name="KSOTemplateDocerSaveRecord">
    <vt:lpwstr>eyJoZGlkIjoiNDgyNWVkZmNkODM0ZWQ3Y2M5NWZkYjQ1ZmEwZWZjNWMiLCJ1c2VySWQiOiI3MzkzNjc3NDMifQ==</vt:lpwstr>
  </property>
</Properties>
</file>