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0" w:after="0" w:line="240" w:lineRule="auto"/>
        <w:jc w:val="center"/>
        <w:rPr>
          <w:rFonts w:hint="eastAsia" w:ascii="方正小标宋简体" w:hAnsi="方正小标宋简体" w:eastAsia="方正小标宋简体" w:cs="方正小标宋简体"/>
          <w:b w:val="0"/>
          <w:bCs w:val="0"/>
          <w:color w:val="auto"/>
          <w:sz w:val="32"/>
          <w:lang w:val="en-US" w:eastAsia="zh-CN"/>
        </w:rPr>
      </w:pPr>
      <w:r>
        <w:rPr>
          <w:rFonts w:hint="eastAsia" w:ascii="方正小标宋简体" w:hAnsi="方正小标宋简体" w:eastAsia="方正小标宋简体" w:cs="方正小标宋简体"/>
          <w:b w:val="0"/>
          <w:bCs w:val="0"/>
          <w:color w:val="auto"/>
          <w:sz w:val="32"/>
          <w:lang w:val="en-US" w:eastAsia="zh-CN"/>
        </w:rPr>
        <w:t>周村区司法局2021年随机检查事项</w:t>
      </w:r>
      <w:bookmarkStart w:id="0" w:name="_GoBack"/>
      <w:bookmarkEnd w:id="0"/>
      <w:r>
        <w:rPr>
          <w:rFonts w:hint="eastAsia" w:ascii="方正小标宋简体" w:hAnsi="方正小标宋简体" w:eastAsia="方正小标宋简体" w:cs="方正小标宋简体"/>
          <w:b w:val="0"/>
          <w:bCs w:val="0"/>
          <w:color w:val="auto"/>
          <w:sz w:val="32"/>
          <w:lang w:val="en-US" w:eastAsia="zh-CN"/>
        </w:rPr>
        <w:t>清单</w:t>
      </w:r>
    </w:p>
    <w:tbl>
      <w:tblPr>
        <w:tblStyle w:val="3"/>
        <w:tblW w:w="0" w:type="auto"/>
        <w:tblInd w:w="0" w:type="dxa"/>
        <w:tblLayout w:type="autofit"/>
        <w:tblCellMar>
          <w:top w:w="15" w:type="dxa"/>
          <w:left w:w="15" w:type="dxa"/>
          <w:bottom w:w="15" w:type="dxa"/>
          <w:right w:w="15" w:type="dxa"/>
        </w:tblCellMar>
      </w:tblPr>
      <w:tblGrid>
        <w:gridCol w:w="343"/>
        <w:gridCol w:w="1362"/>
        <w:gridCol w:w="1200"/>
        <w:gridCol w:w="945"/>
        <w:gridCol w:w="840"/>
        <w:gridCol w:w="4003"/>
        <w:gridCol w:w="5861"/>
      </w:tblGrid>
      <w:tr>
        <w:tblPrEx>
          <w:tblCellMar>
            <w:top w:w="15" w:type="dxa"/>
            <w:left w:w="15" w:type="dxa"/>
            <w:bottom w:w="15" w:type="dxa"/>
            <w:right w:w="15" w:type="dxa"/>
          </w:tblCellMar>
        </w:tblPrEx>
        <w:trPr>
          <w:trHeight w:val="4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lang w:bidi="ar"/>
              </w:rPr>
              <w:t>序号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lang w:bidi="ar"/>
              </w:rPr>
              <w:t>抽查类别</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lang w:bidi="ar"/>
              </w:rPr>
              <w:t>抽查事项</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lang w:bidi="ar"/>
              </w:rPr>
              <w:t>抽查对象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auto"/>
                <w:sz w:val="20"/>
                <w:szCs w:val="20"/>
              </w:rPr>
            </w:pPr>
            <w:r>
              <w:rPr>
                <w:rFonts w:hint="eastAsia" w:ascii="仿宋" w:hAnsi="仿宋" w:eastAsia="仿宋" w:cs="仿宋"/>
                <w:b/>
                <w:color w:val="auto"/>
                <w:kern w:val="0"/>
                <w:sz w:val="20"/>
                <w:szCs w:val="20"/>
                <w:lang w:bidi="ar"/>
              </w:rPr>
              <w:t>事项类别</w:t>
            </w:r>
          </w:p>
        </w:tc>
        <w:tc>
          <w:tcPr>
            <w:tcW w:w="40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auto"/>
                <w:kern w:val="0"/>
                <w:sz w:val="20"/>
                <w:szCs w:val="20"/>
                <w:lang w:bidi="ar"/>
              </w:rPr>
            </w:pPr>
            <w:r>
              <w:rPr>
                <w:rFonts w:hint="eastAsia" w:ascii="仿宋" w:hAnsi="仿宋" w:eastAsia="仿宋" w:cs="仿宋"/>
                <w:b/>
                <w:bCs/>
                <w:i w:val="0"/>
                <w:iCs w:val="0"/>
                <w:caps w:val="0"/>
                <w:color w:val="auto"/>
                <w:spacing w:val="0"/>
                <w:kern w:val="0"/>
                <w:sz w:val="21"/>
                <w:szCs w:val="21"/>
                <w:lang w:val="en-US" w:eastAsia="zh-CN" w:bidi="ar"/>
              </w:rPr>
              <w:t>检查内容</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b/>
                <w:bCs/>
                <w:i w:val="0"/>
                <w:iCs w:val="0"/>
                <w:caps w:val="0"/>
                <w:color w:val="auto"/>
                <w:spacing w:val="0"/>
                <w:kern w:val="0"/>
                <w:sz w:val="21"/>
                <w:szCs w:val="21"/>
                <w:lang w:val="en-US" w:eastAsia="zh-CN" w:bidi="ar"/>
              </w:rPr>
            </w:pPr>
            <w:r>
              <w:rPr>
                <w:rFonts w:hint="eastAsia" w:ascii="仿宋" w:hAnsi="仿宋" w:eastAsia="仿宋" w:cs="仿宋"/>
                <w:b/>
                <w:bCs/>
                <w:i w:val="0"/>
                <w:iCs w:val="0"/>
                <w:caps w:val="0"/>
                <w:color w:val="auto"/>
                <w:spacing w:val="0"/>
                <w:kern w:val="0"/>
                <w:sz w:val="21"/>
                <w:szCs w:val="21"/>
                <w:lang w:val="en-US" w:eastAsia="zh-CN" w:bidi="ar"/>
              </w:rPr>
              <w:t>检查依据</w:t>
            </w:r>
          </w:p>
        </w:tc>
      </w:tr>
      <w:tr>
        <w:tblPrEx>
          <w:tblCellMar>
            <w:top w:w="15" w:type="dxa"/>
            <w:left w:w="15" w:type="dxa"/>
            <w:bottom w:w="15" w:type="dxa"/>
            <w:right w:w="15" w:type="dxa"/>
          </w:tblCellMar>
        </w:tblPrEx>
        <w:trPr>
          <w:trHeight w:val="70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律师执业监督检查</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律师执业监督检查</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律师事务所</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一般检查事项</w:t>
            </w:r>
          </w:p>
        </w:tc>
        <w:tc>
          <w:tcPr>
            <w:tcW w:w="4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ind w:left="0" w:leftChars="0" w:firstLine="0" w:firstLineChars="0"/>
              <w:jc w:val="left"/>
              <w:textAlignment w:val="auto"/>
              <w:rPr>
                <w:rFonts w:hint="eastAsia" w:ascii="仿宋" w:hAnsi="仿宋" w:eastAsia="仿宋" w:cs="仿宋"/>
                <w:i w:val="0"/>
                <w:iCs w:val="0"/>
                <w:caps w:val="0"/>
                <w:color w:val="auto"/>
                <w:spacing w:val="0"/>
                <w:kern w:val="2"/>
                <w:sz w:val="18"/>
                <w:szCs w:val="18"/>
                <w:lang w:val="en-US" w:eastAsia="zh-CN" w:bidi="ar-SA"/>
              </w:rPr>
            </w:pPr>
            <w:r>
              <w:rPr>
                <w:rFonts w:hint="eastAsia" w:ascii="仿宋" w:hAnsi="仿宋" w:eastAsia="仿宋" w:cs="仿宋"/>
                <w:i w:val="0"/>
                <w:iCs w:val="0"/>
                <w:caps w:val="0"/>
                <w:color w:val="auto"/>
                <w:spacing w:val="0"/>
                <w:kern w:val="0"/>
                <w:sz w:val="18"/>
                <w:szCs w:val="18"/>
                <w:lang w:val="en-US" w:eastAsia="zh-CN" w:bidi="ar"/>
              </w:rPr>
              <w:t>律师执业监督检查，遵守法律、法规、规章和行业规范等情况；律师执业表现情况；受行政奖惩、行业奖惩的情况；履行律师协会会员义务的情况；法律、法规、规章规定的其他职责。</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仿宋" w:hAnsi="仿宋" w:eastAsia="仿宋" w:cs="仿宋"/>
                <w:i w:val="0"/>
                <w:iCs w:val="0"/>
                <w:caps w:val="0"/>
                <w:color w:val="auto"/>
                <w:spacing w:val="0"/>
                <w:kern w:val="0"/>
                <w:sz w:val="18"/>
                <w:szCs w:val="18"/>
                <w:lang w:val="en-US" w:eastAsia="zh-CN" w:bidi="ar"/>
              </w:rPr>
              <w:t>1.【法律】《律师法》（1996年5月通过，2017年9月修正）第四条：“司法行政部 门依照本法对律师、律师事务所和律师协会进行监督、指导。”                                                 2.【部委规章】《律师事务所管理办法》（2008年7月司法部令第111号发布，2018 年12月司法部令第142号修正）第六十四条：“县级司法行政机关对本行政区域内的律师事务所的执业活动进行日常监督管理，……移送律师协会处理。”  第六十五条：“设区的市级司法行政机关履行下列监督管理职责：（一）掌握本行政区域律 师事务所的执业活动和组织建设、队伍建设、制度建设的情况，制定加强律师工作的措施和办法；（二）指导、监督下一级司法行政机关的日常监督管理工作，组织开展对律师事务所的专项监督检查工作，指导对律师事务所重大投诉案件的查处工作。” 第六十六条：“省、自治区、直辖市司法行政机关履行下列监督管理职责：（二）掌握本行政区域律师事务所组织建设、队伍建设、制度建设和业务开展情况；（三）监督、指导下级司法行政机关的监督管理工作，指导对律师事务所的专项监督检查和年度检查考核工作。”                                                                        3.【部委规章】《律师执业管理办法》（2008年7月司法部令第112号发布，2016年9月司法部令第134号修订）第五十条：“县级司法行政机关对其执业机构在本行政区域的律师的执业活动进行日常监督管理，……移送律师协会处理。”  第五十一条：“设区的市级司法行政机关履行下列监督管理职责：（一）掌握本行政区域律师队伍建设和发展情况，制定加强律师队伍建设的措施和办法。（二）指导、监督下一级司法行政机关对律师执业的日常监督管理工作，组织开展对律师执业的专项检查或者专项考核工作，指导对律师重大投诉案件的查处工作。（五）对律师事务所的律师执业年度考核结果实行备案监督。” 第五十二条：“省、自治区、直辖市司法行政机关履行下列监督管理职责：（一）掌握、评估本行政区域律师队伍建设情况和总体执业水平，制定律师队伍的发展规划和有关政策，制定加强律师执业管理的规范性文件；（二）监督、指导下级司法行政机关对律师执业的监督管理工作，组织、指导对律师执业的专项检查或者专项考核工作。”</w:t>
            </w:r>
          </w:p>
        </w:tc>
      </w:tr>
      <w:tr>
        <w:tblPrEx>
          <w:tblCellMar>
            <w:top w:w="15" w:type="dxa"/>
            <w:left w:w="15" w:type="dxa"/>
            <w:bottom w:w="15" w:type="dxa"/>
            <w:right w:w="15" w:type="dxa"/>
          </w:tblCellMar>
        </w:tblPrEx>
        <w:trPr>
          <w:trHeight w:val="163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2</w:t>
            </w:r>
          </w:p>
        </w:tc>
        <w:tc>
          <w:tcPr>
            <w:tcW w:w="13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公证执业监督检查</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公证执业监督检查</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公证机构</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一般检查事项</w:t>
            </w:r>
          </w:p>
        </w:tc>
        <w:tc>
          <w:tcPr>
            <w:tcW w:w="4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ind w:left="0" w:leftChars="0" w:firstLine="0" w:firstLineChars="0"/>
              <w:jc w:val="left"/>
              <w:textAlignment w:val="auto"/>
              <w:rPr>
                <w:rFonts w:hint="eastAsia" w:ascii="仿宋" w:hAnsi="仿宋" w:eastAsia="仿宋" w:cs="仿宋"/>
                <w:i w:val="0"/>
                <w:iCs w:val="0"/>
                <w:caps w:val="0"/>
                <w:color w:val="auto"/>
                <w:spacing w:val="0"/>
                <w:kern w:val="2"/>
                <w:sz w:val="18"/>
                <w:szCs w:val="18"/>
                <w:lang w:val="en-US" w:eastAsia="zh-CN" w:bidi="ar-SA"/>
              </w:rPr>
            </w:pPr>
            <w:r>
              <w:rPr>
                <w:rFonts w:hint="eastAsia" w:ascii="仿宋" w:hAnsi="仿宋" w:eastAsia="仿宋" w:cs="仿宋"/>
                <w:i w:val="0"/>
                <w:iCs w:val="0"/>
                <w:caps w:val="0"/>
                <w:color w:val="auto"/>
                <w:spacing w:val="0"/>
                <w:kern w:val="0"/>
                <w:sz w:val="18"/>
                <w:szCs w:val="18"/>
                <w:lang w:val="en-US" w:eastAsia="zh-CN" w:bidi="ar"/>
              </w:rPr>
              <w:t>遵守法律、法规和规章和行业规范等情况；执业活动情况；公证质量情况；司法部和省、自治区、直辖市司法行政机关要求进行监督检查的其他事项。</w:t>
            </w:r>
          </w:p>
        </w:tc>
        <w:tc>
          <w:tcPr>
            <w:tcW w:w="586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i w:val="0"/>
                <w:iCs w:val="0"/>
                <w:caps w:val="0"/>
                <w:color w:val="auto"/>
                <w:spacing w:val="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仿宋" w:hAnsi="仿宋" w:eastAsia="仿宋" w:cs="仿宋"/>
                <w:i w:val="0"/>
                <w:iCs w:val="0"/>
                <w:caps w:val="0"/>
                <w:color w:val="auto"/>
                <w:spacing w:val="0"/>
                <w:kern w:val="0"/>
                <w:sz w:val="18"/>
                <w:szCs w:val="18"/>
                <w:lang w:val="en-US" w:eastAsia="zh-CN" w:bidi="ar"/>
              </w:rPr>
              <w:t>【法律】《公证法》（2005年8月通过，2017年9月修正）第五条：“司法行政部门依照本法规定对公证机构、公证员和公证协会进行监督、指导。”2.【部委规章】《公证程序规则》（2006年5月司法部令第103号发布）第八条：“ 司法行政机关依照《公证法》和本规则规定，对公证机构和公证员的执业活动和遵守程序规则的情况进行监督、指导。”              3.【部委规章】《公证机构执业管理办法》（2006年2月司法部令第101号发布）第五条：“司法行政机关依照《公证法》和有关法律、法规、规章，对公证机构进行监督、指导”。 第二十四条：“司法行政机关依法对公证机构的组织建设、队伍建设、执业活动、质量控制、内部管理等情况进行监督。” 第二十五条：“省、自治区、直辖市司法行政机关对公证机构的下列事项实施监督：……” 第二十六条“设区的市和公证机构所在地司法行政机关对本地公证机构的下列事项实施监督：…… ”</w:t>
            </w:r>
          </w:p>
          <w:p>
            <w:pPr>
              <w:keepNext w:val="0"/>
              <w:keepLines w:val="0"/>
              <w:pageBreakBefore w:val="0"/>
              <w:widowControl/>
              <w:suppressLineNumbers w:val="0"/>
              <w:kinsoku/>
              <w:wordWrap w:val="0"/>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i w:val="0"/>
                <w:iCs w:val="0"/>
                <w:caps w:val="0"/>
                <w:color w:val="auto"/>
                <w:spacing w:val="0"/>
                <w:kern w:val="0"/>
                <w:sz w:val="18"/>
                <w:szCs w:val="18"/>
                <w:lang w:val="en-US" w:eastAsia="zh-CN" w:bidi="ar"/>
              </w:rPr>
            </w:pPr>
            <w:r>
              <w:rPr>
                <w:rFonts w:hint="eastAsia" w:ascii="仿宋" w:hAnsi="仿宋" w:eastAsia="仿宋" w:cs="仿宋"/>
                <w:i w:val="0"/>
                <w:iCs w:val="0"/>
                <w:caps w:val="0"/>
                <w:color w:val="auto"/>
                <w:spacing w:val="0"/>
                <w:kern w:val="0"/>
                <w:sz w:val="18"/>
                <w:szCs w:val="18"/>
                <w:lang w:val="en-US" w:eastAsia="zh-CN" w:bidi="ar"/>
              </w:rPr>
              <w:t>4.【部委规章】《公证员执业管理办法》（2006年3月司法部令第102号发布）第五条：“司法行政机关依照《公证法》和有关法律、法规、规章，对公证员进行监督、指导。”</w:t>
            </w:r>
          </w:p>
        </w:tc>
      </w:tr>
      <w:tr>
        <w:tblPrEx>
          <w:tblCellMar>
            <w:top w:w="15" w:type="dxa"/>
            <w:left w:w="15" w:type="dxa"/>
            <w:bottom w:w="15" w:type="dxa"/>
            <w:right w:w="15" w:type="dxa"/>
          </w:tblCellMar>
        </w:tblPrEx>
        <w:trPr>
          <w:trHeight w:val="117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wordWrap w:val="0"/>
              <w:ind w:left="0" w:leftChars="0" w:firstLine="0" w:firstLineChars="0"/>
              <w:jc w:val="center"/>
              <w:rPr>
                <w:rFonts w:hint="eastAsia" w:ascii="仿宋" w:hAnsi="仿宋" w:eastAsia="仿宋" w:cs="仿宋"/>
                <w:color w:val="auto"/>
              </w:rPr>
            </w:pPr>
          </w:p>
        </w:tc>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wordWrap w:val="0"/>
              <w:ind w:left="0" w:leftChars="0" w:firstLine="0" w:firstLineChars="0"/>
              <w:jc w:val="center"/>
              <w:rPr>
                <w:rFonts w:hint="eastAsia" w:ascii="仿宋" w:hAnsi="仿宋" w:eastAsia="仿宋" w:cs="仿宋"/>
                <w:color w:val="auto"/>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wordWrap w:val="0"/>
              <w:ind w:left="0" w:leftChars="0" w:firstLine="0" w:firstLineChars="0"/>
              <w:jc w:val="center"/>
              <w:rPr>
                <w:rFonts w:hint="eastAsia" w:ascii="仿宋" w:hAnsi="仿宋" w:eastAsia="仿宋" w:cs="仿宋"/>
                <w:color w:val="auto"/>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wordWrap w:val="0"/>
              <w:ind w:left="0" w:leftChars="0" w:firstLine="0" w:firstLineChars="0"/>
              <w:jc w:val="center"/>
              <w:rPr>
                <w:rFonts w:hint="eastAsia" w:ascii="仿宋" w:hAnsi="仿宋" w:eastAsia="仿宋" w:cs="仿宋"/>
                <w:color w:val="auto"/>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wordWrap w:val="0"/>
              <w:ind w:left="0" w:leftChars="0" w:firstLine="0" w:firstLineChars="0"/>
              <w:jc w:val="center"/>
              <w:rPr>
                <w:rFonts w:hint="eastAsia" w:ascii="仿宋" w:hAnsi="仿宋" w:eastAsia="仿宋" w:cs="仿宋"/>
                <w:color w:val="auto"/>
              </w:rPr>
            </w:pPr>
          </w:p>
        </w:tc>
        <w:tc>
          <w:tcPr>
            <w:tcW w:w="4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ind w:left="0" w:leftChars="0" w:firstLine="0" w:firstLineChars="0"/>
              <w:jc w:val="left"/>
              <w:textAlignment w:val="auto"/>
              <w:rPr>
                <w:rFonts w:hint="eastAsia" w:ascii="仿宋" w:hAnsi="仿宋" w:eastAsia="仿宋" w:cs="仿宋"/>
                <w:i w:val="0"/>
                <w:iCs w:val="0"/>
                <w:caps w:val="0"/>
                <w:color w:val="auto"/>
                <w:spacing w:val="0"/>
                <w:kern w:val="0"/>
                <w:sz w:val="18"/>
                <w:szCs w:val="18"/>
                <w:lang w:val="en-US" w:eastAsia="zh-CN" w:bidi="ar"/>
              </w:rPr>
            </w:pPr>
            <w:r>
              <w:rPr>
                <w:rFonts w:hint="eastAsia" w:ascii="仿宋" w:hAnsi="仿宋" w:eastAsia="仿宋" w:cs="仿宋"/>
                <w:i w:val="0"/>
                <w:iCs w:val="0"/>
                <w:caps w:val="0"/>
                <w:color w:val="auto"/>
                <w:spacing w:val="0"/>
                <w:kern w:val="0"/>
                <w:sz w:val="18"/>
                <w:szCs w:val="18"/>
                <w:lang w:val="en-US" w:eastAsia="zh-CN" w:bidi="ar"/>
              </w:rPr>
              <w:t>遵守法律、法规和规章和行业规范等情况；组织建设情况；执业活动情况；公证质量情况；公证员执业年度考核情况；公证档案管理情况；公证收费和财务制度执行情况；内部管理制度建设情况；司法部和省、自治区、直辖市司法行政机关要求进行监督检查的其他事项。</w:t>
            </w:r>
          </w:p>
        </w:tc>
        <w:tc>
          <w:tcPr>
            <w:tcW w:w="586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i w:val="0"/>
                <w:iCs w:val="0"/>
                <w:caps w:val="0"/>
                <w:color w:val="auto"/>
                <w:spacing w:val="0"/>
                <w:kern w:val="0"/>
                <w:sz w:val="18"/>
                <w:szCs w:val="18"/>
                <w:lang w:val="en-US" w:eastAsia="zh-CN" w:bidi="ar"/>
              </w:rPr>
            </w:pPr>
          </w:p>
        </w:tc>
      </w:tr>
      <w:tr>
        <w:tblPrEx>
          <w:tblCellMar>
            <w:top w:w="15" w:type="dxa"/>
            <w:left w:w="15" w:type="dxa"/>
            <w:bottom w:w="15" w:type="dxa"/>
            <w:right w:w="15" w:type="dxa"/>
          </w:tblCellMar>
        </w:tblPrEx>
        <w:trPr>
          <w:trHeight w:val="11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kern w:val="0"/>
                <w:sz w:val="24"/>
                <w:lang w:val="en-US" w:eastAsia="zh-CN" w:bidi="ar"/>
              </w:rPr>
              <w:t>3</w:t>
            </w:r>
          </w:p>
        </w:tc>
        <w:tc>
          <w:tcPr>
            <w:tcW w:w="13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基层法律服务工作监督检查</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基层法律服务所执业</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基层法律服务所</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一般检查事项</w:t>
            </w:r>
          </w:p>
        </w:tc>
        <w:tc>
          <w:tcPr>
            <w:tcW w:w="4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ind w:left="0" w:leftChars="0" w:firstLine="0" w:firstLineChars="0"/>
              <w:jc w:val="left"/>
              <w:textAlignment w:val="auto"/>
              <w:rPr>
                <w:rFonts w:hint="eastAsia" w:ascii="仿宋" w:hAnsi="仿宋" w:eastAsia="仿宋" w:cs="仿宋"/>
                <w:i w:val="0"/>
                <w:iCs w:val="0"/>
                <w:caps w:val="0"/>
                <w:color w:val="auto"/>
                <w:spacing w:val="0"/>
                <w:kern w:val="2"/>
                <w:sz w:val="18"/>
                <w:szCs w:val="18"/>
                <w:lang w:val="en-US" w:eastAsia="zh-CN" w:bidi="ar-SA"/>
              </w:rPr>
            </w:pPr>
            <w:r>
              <w:rPr>
                <w:rFonts w:hint="eastAsia" w:ascii="仿宋" w:hAnsi="仿宋" w:eastAsia="仿宋" w:cs="仿宋"/>
                <w:i w:val="0"/>
                <w:iCs w:val="0"/>
                <w:caps w:val="0"/>
                <w:color w:val="auto"/>
                <w:spacing w:val="0"/>
                <w:kern w:val="0"/>
                <w:sz w:val="18"/>
                <w:szCs w:val="18"/>
                <w:lang w:val="en-US" w:eastAsia="zh-CN" w:bidi="ar"/>
              </w:rPr>
              <w:t>主要检查基层法律服务所加强党的建设、遵守宪法法律、履行法定职责、实施规范管理的情况；党建工作情况；资质管理情况；队伍建设情况；年度业务活动开展情况；内部管理情况；履行基层法律服务行业协会会员义务的情况；</w:t>
            </w:r>
          </w:p>
        </w:tc>
        <w:tc>
          <w:tcPr>
            <w:tcW w:w="586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i w:val="0"/>
                <w:iCs w:val="0"/>
                <w:caps w:val="0"/>
                <w:color w:val="auto"/>
                <w:spacing w:val="0"/>
                <w:kern w:val="0"/>
                <w:sz w:val="18"/>
                <w:szCs w:val="18"/>
                <w:lang w:val="en-US" w:eastAsia="zh-CN" w:bidi="ar"/>
              </w:rPr>
            </w:pPr>
            <w:r>
              <w:rPr>
                <w:rFonts w:hint="eastAsia" w:ascii="仿宋" w:hAnsi="仿宋" w:eastAsia="仿宋" w:cs="仿宋"/>
                <w:i w:val="0"/>
                <w:iCs w:val="0"/>
                <w:caps w:val="0"/>
                <w:color w:val="auto"/>
                <w:spacing w:val="0"/>
                <w:kern w:val="0"/>
                <w:sz w:val="18"/>
                <w:szCs w:val="18"/>
                <w:lang w:val="en-US" w:eastAsia="zh-CN" w:bidi="ar"/>
              </w:rPr>
              <w:t>1.【部委规章】《基层法律服务所管理办法》（2000年3月司法部令第59号公布，2017年12月司法部令第137号修订）第三十四条：“县级司法行政机关或者直辖市 的区（县）司法行政机关对基层法律服务所的日常执业活动和内部管理工作进行指导和监督，可以按照有关规定对基层法律服务所进行检查，要求基层法律服务所报告工作、说明情况、提交有关材料。司法所可以根据县级司法行政机关或者直辖市的区（县）司法行政机关要求，承担对基层法律服务所进行指导监督的具体工作。”</w:t>
            </w:r>
          </w:p>
          <w:p>
            <w:pPr>
              <w:keepNext w:val="0"/>
              <w:keepLines w:val="0"/>
              <w:pageBreakBefore w:val="0"/>
              <w:widowControl/>
              <w:suppressLineNumbers w:val="0"/>
              <w:kinsoku/>
              <w:wordWrap w:val="0"/>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i w:val="0"/>
                <w:iCs w:val="0"/>
                <w:caps w:val="0"/>
                <w:color w:val="auto"/>
                <w:spacing w:val="0"/>
                <w:kern w:val="0"/>
                <w:sz w:val="18"/>
                <w:szCs w:val="18"/>
                <w:lang w:val="en-US" w:eastAsia="zh-CN" w:bidi="ar"/>
              </w:rPr>
            </w:pPr>
            <w:r>
              <w:rPr>
                <w:rFonts w:hint="eastAsia" w:ascii="仿宋" w:hAnsi="仿宋" w:eastAsia="仿宋" w:cs="仿宋"/>
                <w:i w:val="0"/>
                <w:iCs w:val="0"/>
                <w:caps w:val="0"/>
                <w:color w:val="auto"/>
                <w:spacing w:val="0"/>
                <w:kern w:val="0"/>
                <w:sz w:val="18"/>
                <w:szCs w:val="18"/>
                <w:lang w:val="en-US" w:eastAsia="zh-CN" w:bidi="ar"/>
              </w:rPr>
              <w:t>2.【部委规章】《基层法律服务工作者管理办法》（2000年3月司法部令第60号公 布，2017年12月司法部令第138号修订）第四十四条：“县级司法行政机关或者直 辖市的区（县）司法行政机关对基层法律服务工作者的日常执业活动和遵守职业道德、执业纪律的情况进行指导和监督，可以按照有关规定对基层法律服务工作者的执业情况进行检查，要求有关人员报告工作、说明情况、提交有关材料。”</w:t>
            </w:r>
          </w:p>
          <w:p>
            <w:pPr>
              <w:keepNext w:val="0"/>
              <w:keepLines w:val="0"/>
              <w:pageBreakBefore w:val="0"/>
              <w:widowControl/>
              <w:suppressLineNumbers w:val="0"/>
              <w:kinsoku/>
              <w:wordWrap w:val="0"/>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i w:val="0"/>
                <w:iCs w:val="0"/>
                <w:caps w:val="0"/>
                <w:color w:val="auto"/>
                <w:spacing w:val="0"/>
                <w:kern w:val="0"/>
                <w:sz w:val="18"/>
                <w:szCs w:val="18"/>
                <w:lang w:val="en-US" w:eastAsia="zh-CN" w:bidi="ar"/>
              </w:rPr>
            </w:pPr>
            <w:r>
              <w:rPr>
                <w:rFonts w:hint="eastAsia" w:ascii="仿宋" w:hAnsi="仿宋" w:eastAsia="仿宋" w:cs="仿宋"/>
                <w:i w:val="0"/>
                <w:iCs w:val="0"/>
                <w:caps w:val="0"/>
                <w:color w:val="auto"/>
                <w:spacing w:val="0"/>
                <w:kern w:val="0"/>
                <w:sz w:val="18"/>
                <w:szCs w:val="18"/>
                <w:lang w:val="en-US" w:eastAsia="zh-CN" w:bidi="ar"/>
              </w:rPr>
              <w:t>3.【规范性文件】《山东省司法厅关于印发&lt;山东省基层法律服务所年度考核办法&gt;&lt; 山东省基层法律服务工作者年度考核办法&gt;&lt;山东省基层法律服务年度考核印章样式 及使用说明&gt;的通知》（鲁司﹝2018﹞50号）。</w:t>
            </w:r>
          </w:p>
        </w:tc>
      </w:tr>
      <w:tr>
        <w:tblPrEx>
          <w:tblCellMar>
            <w:top w:w="15" w:type="dxa"/>
            <w:left w:w="15" w:type="dxa"/>
            <w:bottom w:w="15" w:type="dxa"/>
            <w:right w:w="15"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color w:val="auto"/>
                <w:sz w:val="24"/>
              </w:rPr>
            </w:pPr>
          </w:p>
        </w:tc>
        <w:tc>
          <w:tcPr>
            <w:tcW w:w="1362" w:type="dxa"/>
            <w:vMerge w:val="continue"/>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color w:val="auto"/>
                <w:sz w:val="22"/>
                <w:szCs w:val="22"/>
              </w:rPr>
            </w:pPr>
          </w:p>
        </w:tc>
        <w:tc>
          <w:tcPr>
            <w:tcW w:w="1200" w:type="dxa"/>
            <w:vMerge w:val="continue"/>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color w:val="auto"/>
                <w:sz w:val="22"/>
                <w:szCs w:val="22"/>
              </w:rPr>
            </w:pPr>
          </w:p>
        </w:tc>
        <w:tc>
          <w:tcPr>
            <w:tcW w:w="945" w:type="dxa"/>
            <w:vMerge w:val="continue"/>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color w:val="auto"/>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color w:val="auto"/>
                <w:sz w:val="22"/>
                <w:szCs w:val="22"/>
              </w:rPr>
            </w:pPr>
          </w:p>
        </w:tc>
        <w:tc>
          <w:tcPr>
            <w:tcW w:w="4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ind w:left="0" w:leftChars="0" w:firstLine="0" w:firstLineChars="0"/>
              <w:jc w:val="left"/>
              <w:textAlignment w:val="auto"/>
              <w:rPr>
                <w:rFonts w:hint="eastAsia" w:ascii="仿宋" w:hAnsi="仿宋" w:eastAsia="仿宋" w:cs="仿宋"/>
                <w:i w:val="0"/>
                <w:iCs w:val="0"/>
                <w:caps w:val="0"/>
                <w:color w:val="auto"/>
                <w:spacing w:val="0"/>
                <w:kern w:val="2"/>
                <w:sz w:val="18"/>
                <w:szCs w:val="18"/>
                <w:lang w:val="en-US" w:eastAsia="zh-CN" w:bidi="ar-SA"/>
              </w:rPr>
            </w:pPr>
            <w:r>
              <w:rPr>
                <w:rFonts w:hint="eastAsia" w:ascii="仿宋" w:hAnsi="仿宋" w:eastAsia="仿宋" w:cs="仿宋"/>
                <w:i w:val="0"/>
                <w:iCs w:val="0"/>
                <w:caps w:val="0"/>
                <w:color w:val="auto"/>
                <w:spacing w:val="0"/>
                <w:kern w:val="0"/>
                <w:sz w:val="18"/>
                <w:szCs w:val="18"/>
                <w:lang w:val="en-US" w:eastAsia="zh-CN" w:bidi="ar"/>
              </w:rPr>
              <w:t>主要检查在执业活动中遵守宪法、法律、法规和规章，遵守职业道德、执业纪律和行业规范，履行法定职责的情况；服从司法行政机关监督管理，服从基层法律服务所内部管理，完成司法行政机关和基层法律服务所指派的各项工作任务的情况；办理各类法律服务业务的数量、类别和服务质量，办理重大案件、群体性案件的情况；参加司法行政机关和基层法律服务行业协会组织的教育培训、理论研讨等活动的情况；履行法律援助义务，参加社会服务及其他社会公益活动的情况；在执业过程中受当事人、有关部门和社会公众表扬、投诉的情况，受行政、行业奖惩的情况；遵守基层法律服务行业协会章程，履行会员义务的情况；党员基层法律服务工作者遵守《党章》和党内法规、党的纪律，参加组织生活的情况；</w:t>
            </w:r>
          </w:p>
        </w:tc>
        <w:tc>
          <w:tcPr>
            <w:tcW w:w="5861"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wordWrap w:val="0"/>
              <w:ind w:left="0" w:leftChars="0" w:firstLine="0" w:firstLineChars="0"/>
              <w:jc w:val="left"/>
              <w:rPr>
                <w:rFonts w:hint="eastAsia" w:ascii="仿宋" w:hAnsi="仿宋" w:eastAsia="仿宋" w:cs="仿宋"/>
                <w:i w:val="0"/>
                <w:iCs w:val="0"/>
                <w:caps w:val="0"/>
                <w:color w:val="auto"/>
                <w:spacing w:val="0"/>
                <w:kern w:val="0"/>
                <w:sz w:val="18"/>
                <w:szCs w:val="18"/>
                <w:lang w:val="en-US" w:eastAsia="zh-CN" w:bidi="ar"/>
              </w:rPr>
            </w:pPr>
          </w:p>
        </w:tc>
      </w:tr>
    </w:tbl>
    <w:p/>
    <w:sectPr>
      <w:pgSz w:w="16838" w:h="11906" w:orient="landscape"/>
      <w:pgMar w:top="1406" w:right="1157" w:bottom="1463"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2"/>
    <w:multiLevelType w:val="multilevel"/>
    <w:tmpl w:val="00000032"/>
    <w:lvl w:ilvl="0" w:tentative="0">
      <w:start w:val="1"/>
      <w:numFmt w:val="decimal"/>
      <w:suff w:val="space"/>
      <w:lvlText w:val="第%1章 "/>
      <w:lvlJc w:val="left"/>
      <w:pPr>
        <w:ind w:left="993" w:firstLine="0"/>
      </w:pPr>
    </w:lvl>
    <w:lvl w:ilvl="1" w:tentative="0">
      <w:start w:val="1"/>
      <w:numFmt w:val="decimal"/>
      <w:pStyle w:val="2"/>
      <w:suff w:val="space"/>
      <w:lvlText w:val="%1.%2"/>
      <w:lvlJc w:val="left"/>
      <w:pPr>
        <w:ind w:left="562" w:hanging="420"/>
      </w:pPr>
      <w:rPr>
        <w:rFonts w:hint="eastAsia" w:ascii="Times New Roman" w:hAnsi="Times New Roman" w:cs="Times New Roman"/>
        <w:i w:val="0"/>
        <w:iCs w:val="0"/>
        <w:caps w:val="0"/>
        <w:smallCaps w:val="0"/>
        <w:strike w:val="0"/>
        <w:dstrike w:val="0"/>
        <w:vanish w:val="0"/>
        <w:color w:val="000000"/>
        <w:spacing w:val="0"/>
        <w:position w:val="0"/>
        <w:u w:val="none"/>
        <w:vertAlign w:val="baseline"/>
      </w:rPr>
    </w:lvl>
    <w:lvl w:ilvl="2" w:tentative="0">
      <w:start w:val="1"/>
      <w:numFmt w:val="decimal"/>
      <w:suff w:val="space"/>
      <w:lvlText w:val="%1.%2.%3"/>
      <w:lvlJc w:val="left"/>
      <w:pPr>
        <w:ind w:left="1407" w:hanging="840"/>
      </w:pPr>
      <w:rPr>
        <w:rFonts w:hint="eastAsia" w:ascii="Times New Roman" w:hAnsi="Times New Roman" w:cs="Times New Roman"/>
        <w:i w:val="0"/>
        <w:iCs w:val="0"/>
        <w:caps w:val="0"/>
        <w:smallCaps w:val="0"/>
        <w:strike w:val="0"/>
        <w:dstrike w:val="0"/>
        <w:vanish w:val="0"/>
        <w:color w:val="000000"/>
        <w:spacing w:val="0"/>
        <w:position w:val="0"/>
        <w:u w:val="none"/>
        <w:vertAlign w:val="baseline"/>
      </w:rPr>
    </w:lvl>
    <w:lvl w:ilvl="3" w:tentative="0">
      <w:start w:val="1"/>
      <w:numFmt w:val="decimal"/>
      <w:suff w:val="space"/>
      <w:lvlText w:val="%1.%2.%3.%4"/>
      <w:lvlJc w:val="left"/>
      <w:pPr>
        <w:ind w:left="840" w:hanging="840"/>
      </w:pPr>
    </w:lvl>
    <w:lvl w:ilvl="4" w:tentative="0">
      <w:start w:val="1"/>
      <w:numFmt w:val="decimal"/>
      <w:suff w:val="space"/>
      <w:lvlText w:val="%1.%2.%3.%4.%5"/>
      <w:lvlJc w:val="left"/>
      <w:pPr>
        <w:ind w:left="1418" w:firstLine="0"/>
      </w:pPr>
    </w:lvl>
    <w:lvl w:ilvl="5" w:tentative="0">
      <w:start w:val="1"/>
      <w:numFmt w:val="decimal"/>
      <w:suff w:val="space"/>
      <w:lvlText w:val="%1.%2.%3.%4.%5.%6"/>
      <w:lvlJc w:val="left"/>
      <w:pPr>
        <w:ind w:left="1134" w:firstLine="0"/>
      </w:pPr>
    </w:lvl>
    <w:lvl w:ilvl="6" w:tentative="0">
      <w:start w:val="1"/>
      <w:numFmt w:val="decimal"/>
      <w:suff w:val="space"/>
      <w:lvlText w:val="%1.%2.%3.%4.%5.%6.%7"/>
      <w:lvlJc w:val="left"/>
      <w:pPr>
        <w:ind w:left="987" w:firstLine="0"/>
      </w:pPr>
    </w:lvl>
    <w:lvl w:ilvl="7" w:tentative="0">
      <w:start w:val="1"/>
      <w:numFmt w:val="decimal"/>
      <w:suff w:val="space"/>
      <w:lvlText w:val="%1.%2.%3.%4.%5.%6.%7.%8"/>
      <w:lvlJc w:val="left"/>
      <w:pPr>
        <w:ind w:left="567" w:firstLine="0"/>
      </w:pPr>
    </w:lvl>
    <w:lvl w:ilvl="8" w:tentative="0">
      <w:start w:val="1"/>
      <w:numFmt w:val="decimal"/>
      <w:lvlText w:val="%1.%2.%3.%4.%5.%6.%7.%8.%9."/>
      <w:lvlJc w:val="left"/>
      <w:pPr>
        <w:tabs>
          <w:tab w:val="left" w:pos="4764"/>
        </w:tabs>
        <w:ind w:left="4764"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96230"/>
    <w:rsid w:val="07622C09"/>
    <w:rsid w:val="13F96230"/>
    <w:rsid w:val="15A54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3" w:lineRule="auto"/>
      <w:ind w:left="0" w:firstLine="0"/>
      <w:jc w:val="left"/>
      <w:outlineLvl w:val="1"/>
    </w:pPr>
    <w:rPr>
      <w:rFonts w:ascii="Arial" w:hAnsi="Arial" w:eastAsia="黑体"/>
      <w:b/>
      <w:bCs/>
      <w:sz w:val="36"/>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2021-07-04T01:11:00Z</dcterms:created>
  <dc:creator> 那小谁</dc:creator>
  <cp:lastModifiedBy> 那小谁</cp:lastModifiedBy>
  <dcterms:modified xsi:type="dcterms:W3CDTF">2021-09-09T09:04:13Z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DA0F12EE8DC7411EAAF0D8FD2948316C</vt:lpwstr>
  </property>
</Properties>
</file>