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年度“双随机一公开”抽查工作计划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规范监管执法行为，进一步增强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文化市场执法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检查工作的针对性和有效性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，提高安全生产监管执法效能，制定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本抽查工作计划。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一、抽查时间及对象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  （一）抽查时间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年1月至12月。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  （二）抽查对象</w:t>
      </w:r>
    </w:p>
    <w:p>
      <w:pPr>
        <w:ind w:firstLine="64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监督检查辖区内所有在营文化市场经营单位。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二、抽查内容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参照“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全国文化市场技术监管与服务平台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”随机抽查事项清单。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三、抽查具体计划及方式方法</w:t>
      </w:r>
    </w:p>
    <w:p>
      <w:pPr>
        <w:ind w:firstLine="320" w:firstLineChars="1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（一）抽查方式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按照“双随机”抽查工作要求，依托抽查工作平台，采用“双随机”抽查方式（随机选取被检查单位、随机确定监督检查人员）。</w:t>
      </w:r>
    </w:p>
    <w:p>
      <w:pPr>
        <w:ind w:firstLine="320" w:firstLineChars="1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（二）抽查比例和频次   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对于重点监督检查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文化市场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经营单位，按照每年每家不少于两次的频次进行抽查；对于一般监督检查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文化市场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经营单位，按照每年每家不少于一次的频次进行抽查。</w:t>
      </w:r>
    </w:p>
    <w:p>
      <w:pPr>
        <w:ind w:firstLine="320" w:firstLineChars="1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（三）抽查工作要求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规范使用“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全国文化市场技术监管与服务平台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”，在执法检查前，登录平台建立随机抽查任务，随机确定待查对象和执法人员，按照任务规定时限完成实地检查任务，在检查结束后将检查结果录入系统并进行公示。</w:t>
      </w:r>
    </w:p>
    <w:p>
      <w:pPr>
        <w:ind w:firstLine="320" w:firstLineChars="1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（四）抽查结果运用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查工作结束后，执法人员应当对抽查工作进行汇总、分析，对抽查中发现的涉嫌违法违规行为，应依法依规予以处理，并按照行政处罚案件信息公开工作要求，及时公开相关信息；属于其他部门管辖的，及时移送相关部门查处；对涉嫌犯罪的，依法移送司法机关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                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440" w:firstLineChars="17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周村区文化和旅游局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                 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 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月15日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rPr>
          <w:rFonts w:hint="eastAsia"/>
        </w:rPr>
      </w:pPr>
    </w:p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32197"/>
    <w:rsid w:val="3553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2020-12-07T06:18:00Z</dcterms:created>
  <dc:creator>欣格</dc:creator>
  <cp:lastModifiedBy>欣格</cp:lastModifiedBy>
  <dcterms:modified xsi:type="dcterms:W3CDTF">2020-12-07T07:07:04Z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