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pPr>
      <w:r>
        <mc:AlternateContent>
          <mc:Choice Requires="wps">
            <w:drawing>
              <wp:anchor distT="0" distB="0" distL="114300" distR="114300" simplePos="0" relativeHeight="251659264" behindDoc="0" locked="0" layoutInCell="1" allowOverlap="1">
                <wp:simplePos x="0" y="0"/>
                <wp:positionH relativeFrom="column">
                  <wp:posOffset>242570</wp:posOffset>
                </wp:positionH>
                <wp:positionV relativeFrom="paragraph">
                  <wp:posOffset>296545</wp:posOffset>
                </wp:positionV>
                <wp:extent cx="5361940" cy="1533525"/>
                <wp:effectExtent l="0" t="0" r="2540" b="5715"/>
                <wp:wrapNone/>
                <wp:docPr id="2" name="文本框 2"/>
                <wp:cNvGraphicFramePr/>
                <a:graphic xmlns:a="http://schemas.openxmlformats.org/drawingml/2006/main">
                  <a:graphicData uri="http://schemas.microsoft.com/office/word/2010/wordprocessingShape">
                    <wps:wsp>
                      <wps:cNvSpPr txBox="1"/>
                      <wps:spPr>
                        <a:xfrm>
                          <a:off x="5347335" y="2182495"/>
                          <a:ext cx="5361940" cy="1533525"/>
                        </a:xfrm>
                        <a:prstGeom prst="rect">
                          <a:avLst/>
                        </a:prstGeom>
                        <a:solidFill>
                          <a:srgbClr val="FFFFFF"/>
                        </a:solidFill>
                        <a:ln w="6350">
                          <a:noFill/>
                        </a:ln>
                        <a:effectLst/>
                      </wps:spPr>
                      <wps:txbx>
                        <w:txbxContent>
                          <w:p>
                            <w:pPr>
                              <w:rPr>
                                <w:rFonts w:ascii="方正小标宋简体" w:hAnsi="方正小标宋简体" w:eastAsia="方正小标宋简体" w:cs="方正小标宋简体"/>
                                <w:color w:val="FF0000"/>
                                <w:w w:val="55"/>
                                <w:sz w:val="144"/>
                                <w:szCs w:val="144"/>
                              </w:rPr>
                            </w:pPr>
                            <w:r>
                              <w:rPr>
                                <w:rFonts w:hint="eastAsia" w:ascii="方正小标宋简体" w:hAnsi="方正小标宋简体" w:eastAsia="方正小标宋简体" w:cs="方正小标宋简体"/>
                                <w:color w:val="FF0000"/>
                                <w:w w:val="55"/>
                                <w:sz w:val="144"/>
                                <w:szCs w:val="144"/>
                              </w:rPr>
                              <w:t>周村区应急管理局文件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pt;margin-top:23.35pt;height:120.75pt;width:422.2pt;z-index:251659264;mso-width-relative:page;mso-height-relative:page;" fillcolor="#FFFFFF" filled="t" stroked="f" coordsize="21600,21600" o:gfxdata="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Kieo/VAAAACQEAAA8AAAAAAAAAAQAgAAAAIgAAAGRycy9kb3ducmV2LnhtbFBLAQIUABQAAAAI&#10;AIdO4kDf+Gj4YgIAAKoEAAAOAAAAAAAAAAEAIAAAACQBAABkcnMvZTJvRG9jLnhtbFBLBQYAAAAA&#10;BgAGAFkBAAD4BQAAAAA=&#10;">
                <v:fill on="t" focussize="0,0"/>
                <v:stroke on="f" weight="0.5pt"/>
                <v:imagedata o:title=""/>
                <o:lock v:ext="edit" aspectratio="f"/>
                <v:textbox>
                  <w:txbxContent>
                    <w:p>
                      <w:pPr>
                        <w:rPr>
                          <w:rFonts w:ascii="方正小标宋简体" w:hAnsi="方正小标宋简体" w:eastAsia="方正小标宋简体" w:cs="方正小标宋简体"/>
                          <w:color w:val="FF0000"/>
                          <w:w w:val="55"/>
                          <w:sz w:val="144"/>
                          <w:szCs w:val="144"/>
                        </w:rPr>
                      </w:pPr>
                      <w:r>
                        <w:rPr>
                          <w:rFonts w:hint="eastAsia" w:ascii="方正小标宋简体" w:hAnsi="方正小标宋简体" w:eastAsia="方正小标宋简体" w:cs="方正小标宋简体"/>
                          <w:color w:val="FF0000"/>
                          <w:w w:val="55"/>
                          <w:sz w:val="144"/>
                          <w:szCs w:val="144"/>
                        </w:rPr>
                        <w:t>周村区应急管理局文件</w:t>
                      </w:r>
                    </w:p>
                  </w:txbxContent>
                </v:textbox>
              </v:shape>
            </w:pict>
          </mc:Fallback>
        </mc:AlternateContent>
      </w:r>
    </w:p>
    <w:p>
      <w:pPr>
        <w:spacing w:line="560" w:lineRule="exact"/>
      </w:pPr>
    </w:p>
    <w:p>
      <w:pPr>
        <w:spacing w:line="560" w:lineRule="exact"/>
      </w:pPr>
      <w:bookmarkStart w:id="3" w:name="_GoBack"/>
    </w:p>
    <w:p>
      <w:pPr>
        <w:spacing w:line="560" w:lineRule="exact"/>
      </w:pPr>
    </w:p>
    <w:p>
      <w:pPr>
        <w:spacing w:line="560" w:lineRule="exact"/>
        <w:rPr>
          <w:rFonts w:asciiTheme="minorEastAsia" w:hAnsiTheme="minorEastAsia" w:cstheme="minorEastAsia"/>
        </w:rPr>
      </w:pPr>
    </w:p>
    <w:p>
      <w:pPr>
        <w:spacing w:line="300" w:lineRule="exact"/>
        <w:rPr>
          <w:rFonts w:ascii="Times New Roman" w:hAnsi="Times New Roman" w:eastAsia="仿宋_GB2312" w:cs="Times New Roman"/>
          <w:sz w:val="32"/>
          <w:szCs w:val="32"/>
        </w:rPr>
      </w:pPr>
    </w:p>
    <w:p>
      <w:pPr>
        <w:spacing w:line="7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周</w:t>
      </w:r>
      <w:r>
        <w:rPr>
          <w:rFonts w:hint="eastAsia" w:ascii="Times New Roman" w:hAnsi="Times New Roman" w:eastAsia="仿宋_GB2312" w:cs="Times New Roman"/>
          <w:sz w:val="32"/>
          <w:szCs w:val="32"/>
        </w:rPr>
        <w:t>应急字</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号</w:t>
      </w:r>
    </w:p>
    <w:p>
      <w:pPr>
        <w:spacing w:line="700" w:lineRule="exact"/>
        <w:rPr>
          <w:rFonts w:ascii="Times New Roman" w:hAnsi="Times New Roman" w:eastAsia="仿宋_GB2312" w:cs="Times New Roman"/>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69850</wp:posOffset>
                </wp:positionV>
                <wp:extent cx="5762625" cy="0"/>
                <wp:effectExtent l="0" t="9525" r="13335" b="13335"/>
                <wp:wrapNone/>
                <wp:docPr id="3" name="直接连接符 3"/>
                <wp:cNvGraphicFramePr/>
                <a:graphic xmlns:a="http://schemas.openxmlformats.org/drawingml/2006/main">
                  <a:graphicData uri="http://schemas.microsoft.com/office/word/2010/wordprocessingShape">
                    <wps:wsp>
                      <wps:cNvCnPr/>
                      <wps:spPr>
                        <a:xfrm>
                          <a:off x="1089660" y="5375275"/>
                          <a:ext cx="576262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7.2pt;margin-top:5.5pt;height:0pt;width:453.75pt;z-index:251660288;mso-width-relative:page;mso-height-relative:page;" filled="f" stroked="t" coordsize="21600,21600" o:gfxdata="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rb7c9QAAAAJAQAADwAAAAAAAAABACAAAAAiAAAAZHJzL2Rvd25yZXYueG1s&#10;UEsBAhQAFAAAAAgAh07iQMSeCM/8AQAAzAMAAA4AAAAAAAAAAQAgAAAAIwEAAGRycy9lMm9Eb2Mu&#10;eG1sUEsFBgAAAAAGAAYAWQEAAJEFAAAAAA==&#10;">
                <v:fill on="f" focussize="0,0"/>
                <v:stroke weight="1.5pt" color="#FF0000" miterlimit="8" joinstyle="miter"/>
                <v:imagedata o:title=""/>
                <o:lock v:ext="edit" aspectratio="f"/>
              </v:line>
            </w:pict>
          </mc:Fallback>
        </mc:AlternateContent>
      </w:r>
    </w:p>
    <w:p>
      <w:pPr>
        <w:spacing w:line="52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印发《关于全面推行行政指导工作实施方案》</w:t>
      </w:r>
    </w:p>
    <w:p>
      <w:pPr>
        <w:spacing w:line="520" w:lineRule="exact"/>
        <w:jc w:val="center"/>
        <w:rPr>
          <w:rFonts w:hint="eastAsia" w:ascii="Times New Roman" w:hAnsi="Times New Roman" w:eastAsia="仿宋_GB2312" w:cs="Times New Roman"/>
          <w:sz w:val="32"/>
          <w:szCs w:val="32"/>
        </w:rPr>
      </w:pPr>
      <w:r>
        <w:rPr>
          <w:rFonts w:hint="eastAsia" w:ascii="方正小标宋简体" w:hAnsi="方正小标宋简体" w:eastAsia="方正小标宋简体" w:cs="方正小标宋简体"/>
          <w:sz w:val="40"/>
          <w:szCs w:val="40"/>
        </w:rPr>
        <w:t>的通知</w:t>
      </w:r>
    </w:p>
    <w:p>
      <w:pPr>
        <w:spacing w:line="560" w:lineRule="exact"/>
        <w:jc w:val="lef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各镇、街道安环办、周村经济开发区管委会安环部，局机关各科室、局属各单位：</w:t>
      </w:r>
    </w:p>
    <w:p>
      <w:pPr>
        <w:spacing w:line="560" w:lineRule="exact"/>
        <w:jc w:val="lef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 xml:space="preserve">    现将《关于全面推行行政指导工作实施方案》印发给你们，请结合实际，认真贯彻落实。</w:t>
      </w:r>
    </w:p>
    <w:p>
      <w:pPr>
        <w:spacing w:line="560" w:lineRule="exact"/>
        <w:jc w:val="left"/>
        <w:rPr>
          <w:rFonts w:ascii="仿宋_GB2312" w:hAnsi="方正小标宋简体" w:eastAsia="仿宋_GB2312" w:cs="方正小标宋简体"/>
          <w:sz w:val="32"/>
          <w:szCs w:val="32"/>
        </w:rPr>
      </w:pPr>
    </w:p>
    <w:p>
      <w:pPr>
        <w:spacing w:line="560" w:lineRule="exact"/>
        <w:jc w:val="left"/>
        <w:rPr>
          <w:rFonts w:ascii="仿宋_GB2312" w:hAnsi="方正小标宋简体" w:eastAsia="仿宋_GB2312" w:cs="方正小标宋简体"/>
          <w:sz w:val="32"/>
          <w:szCs w:val="32"/>
        </w:rPr>
      </w:pPr>
    </w:p>
    <w:p>
      <w:pPr>
        <w:spacing w:line="560" w:lineRule="exact"/>
        <w:ind w:firstLine="5920" w:firstLineChars="1850"/>
        <w:jc w:val="left"/>
        <w:rPr>
          <w:rFonts w:eastAsia="仿宋_GB2312"/>
          <w:sz w:val="32"/>
          <w:szCs w:val="32"/>
        </w:rPr>
      </w:pPr>
      <w:r>
        <w:rPr>
          <w:rFonts w:eastAsia="仿宋_GB2312"/>
          <w:sz w:val="32"/>
          <w:szCs w:val="32"/>
        </w:rPr>
        <w:t>周村区应急管理局</w:t>
      </w:r>
    </w:p>
    <w:p>
      <w:pPr>
        <w:spacing w:line="560" w:lineRule="exact"/>
        <w:jc w:val="center"/>
        <w:rPr>
          <w:rFonts w:eastAsia="仿宋_GB2312"/>
          <w:sz w:val="32"/>
          <w:szCs w:val="32"/>
        </w:rPr>
      </w:pPr>
      <w:r>
        <w:rPr>
          <w:rFonts w:eastAsia="仿宋_GB2312"/>
          <w:sz w:val="32"/>
          <w:szCs w:val="32"/>
        </w:rPr>
        <w:t xml:space="preserve">                                 2021年</w:t>
      </w:r>
      <w:r>
        <w:rPr>
          <w:rFonts w:hint="eastAsia" w:eastAsia="仿宋_GB2312"/>
          <w:sz w:val="32"/>
          <w:szCs w:val="32"/>
        </w:rPr>
        <w:t>5</w:t>
      </w:r>
      <w:r>
        <w:rPr>
          <w:rFonts w:eastAsia="仿宋_GB2312"/>
          <w:sz w:val="32"/>
          <w:szCs w:val="32"/>
        </w:rPr>
        <w:t>月</w:t>
      </w:r>
      <w:r>
        <w:rPr>
          <w:rFonts w:hint="eastAsia" w:eastAsia="仿宋_GB2312"/>
          <w:sz w:val="32"/>
          <w:szCs w:val="32"/>
        </w:rPr>
        <w:t>6</w:t>
      </w:r>
      <w:r>
        <w:rPr>
          <w:rFonts w:eastAsia="仿宋_GB2312"/>
          <w:sz w:val="32"/>
          <w:szCs w:val="32"/>
        </w:rPr>
        <w:t>日</w:t>
      </w:r>
    </w:p>
    <w:p>
      <w:pPr>
        <w:widowControl/>
        <w:jc w:val="left"/>
        <w:rPr>
          <w:rFonts w:eastAsia="仿宋_GB2312"/>
          <w:sz w:val="32"/>
          <w:szCs w:val="32"/>
        </w:rPr>
      </w:pPr>
      <w:r>
        <w:rPr>
          <w:rFonts w:eastAsia="仿宋_GB2312"/>
          <w:sz w:val="32"/>
          <w:szCs w:val="32"/>
        </w:rPr>
        <w:br w:type="page"/>
      </w:r>
    </w:p>
    <w:p>
      <w:pPr>
        <w:spacing w:line="560" w:lineRule="exact"/>
        <w:jc w:val="center"/>
        <w:rPr>
          <w:rFonts w:eastAsia="仿宋_GB2312"/>
          <w:sz w:val="32"/>
          <w:szCs w:val="32"/>
        </w:rPr>
      </w:pPr>
    </w:p>
    <w:p>
      <w:pPr>
        <w:spacing w:line="560" w:lineRule="exact"/>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关于全面推行行政指导工作实施方案</w:t>
      </w:r>
    </w:p>
    <w:p>
      <w:pPr>
        <w:spacing w:line="560" w:lineRule="exact"/>
        <w:jc w:val="center"/>
        <w:rPr>
          <w:rFonts w:ascii="方正小标宋简体" w:hAnsi="方正小标宋简体" w:eastAsia="方正小标宋简体" w:cs="方正小标宋简体"/>
          <w:sz w:val="44"/>
          <w:szCs w:val="40"/>
        </w:rPr>
      </w:pPr>
    </w:p>
    <w:p>
      <w:pPr>
        <w:spacing w:line="560" w:lineRule="exact"/>
        <w:ind w:firstLine="640" w:firstLineChars="200"/>
        <w:rPr>
          <w:rFonts w:eastAsia="仿宋_GB2312"/>
          <w:sz w:val="32"/>
          <w:szCs w:val="28"/>
        </w:rPr>
      </w:pPr>
      <w:r>
        <w:rPr>
          <w:rFonts w:hAnsi="仿宋_GB2312" w:eastAsia="仿宋_GB2312"/>
          <w:sz w:val="32"/>
          <w:szCs w:val="28"/>
        </w:rPr>
        <w:t>为全面推行行政指导工作，创新监管执法方式，转变监管执法理念，提升监管服务水平，根据周村区人民政府办公室《关于印发周村区全面推行行政指导工作实施方案的通知》（周政办字〔</w:t>
      </w:r>
      <w:r>
        <w:rPr>
          <w:rFonts w:eastAsia="仿宋_GB2312"/>
          <w:sz w:val="32"/>
          <w:szCs w:val="28"/>
        </w:rPr>
        <w:t>2021</w:t>
      </w:r>
      <w:r>
        <w:rPr>
          <w:rFonts w:hAnsi="仿宋_GB2312" w:eastAsia="仿宋_GB2312"/>
          <w:sz w:val="32"/>
          <w:szCs w:val="28"/>
        </w:rPr>
        <w:t>〕</w:t>
      </w:r>
      <w:r>
        <w:rPr>
          <w:rFonts w:eastAsia="仿宋_GB2312"/>
          <w:sz w:val="32"/>
          <w:szCs w:val="28"/>
        </w:rPr>
        <w:t>5</w:t>
      </w:r>
      <w:r>
        <w:rPr>
          <w:rFonts w:hAnsi="仿宋_GB2312" w:eastAsia="仿宋_GB2312"/>
          <w:sz w:val="32"/>
          <w:szCs w:val="28"/>
        </w:rPr>
        <w:t>号）要求，结合我局实际，制定本实施方案。</w:t>
      </w:r>
    </w:p>
    <w:p>
      <w:pPr>
        <w:spacing w:line="560" w:lineRule="exact"/>
        <w:ind w:firstLine="640" w:firstLineChars="200"/>
        <w:rPr>
          <w:rFonts w:eastAsia="黑体"/>
          <w:sz w:val="32"/>
          <w:szCs w:val="28"/>
        </w:rPr>
      </w:pPr>
      <w:r>
        <w:rPr>
          <w:rFonts w:hAnsi="黑体" w:eastAsia="黑体"/>
          <w:sz w:val="32"/>
          <w:szCs w:val="28"/>
        </w:rPr>
        <w:t>一、指导思想</w:t>
      </w:r>
    </w:p>
    <w:p>
      <w:pPr>
        <w:spacing w:line="560" w:lineRule="exact"/>
        <w:ind w:firstLine="640" w:firstLineChars="200"/>
        <w:rPr>
          <w:rFonts w:eastAsia="仿宋_GB2312"/>
          <w:sz w:val="32"/>
          <w:szCs w:val="28"/>
        </w:rPr>
      </w:pPr>
      <w:r>
        <w:rPr>
          <w:rFonts w:hAnsi="仿宋_GB2312" w:eastAsia="仿宋_GB2312"/>
          <w:sz w:val="32"/>
          <w:szCs w:val="28"/>
        </w:rPr>
        <w:t>要以习近平新时代中国特色社会主义思想为指导，深入学习贯彻党的十九大和十九届二中、三中、四中、五中全会精神，贯彻习近平总书记关于安全生产重要论述，全面贯彻落实省、市、区法治政府建设要求，不断提升行政管理效能，提高服务基层、服务群众、服务企业、服务发展的能力和水平，为我区经济社会发展创造良好的法治环境。</w:t>
      </w:r>
    </w:p>
    <w:p>
      <w:pPr>
        <w:spacing w:line="560" w:lineRule="exact"/>
        <w:ind w:firstLine="640" w:firstLineChars="200"/>
        <w:rPr>
          <w:rFonts w:eastAsia="黑体"/>
          <w:sz w:val="32"/>
          <w:szCs w:val="28"/>
        </w:rPr>
      </w:pPr>
      <w:r>
        <w:rPr>
          <w:rFonts w:hAnsi="黑体" w:eastAsia="黑体"/>
          <w:sz w:val="32"/>
          <w:szCs w:val="28"/>
        </w:rPr>
        <w:t>二、目的意义</w:t>
      </w:r>
    </w:p>
    <w:p>
      <w:pPr>
        <w:spacing w:line="560" w:lineRule="exact"/>
        <w:ind w:firstLine="640" w:firstLineChars="200"/>
        <w:rPr>
          <w:rFonts w:hAnsi="仿宋_GB2312" w:eastAsia="仿宋_GB2312"/>
          <w:sz w:val="32"/>
          <w:szCs w:val="28"/>
        </w:rPr>
      </w:pPr>
      <w:r>
        <w:rPr>
          <w:rFonts w:hAnsi="仿宋_GB2312" w:eastAsia="仿宋_GB2312"/>
          <w:sz w:val="32"/>
          <w:szCs w:val="28"/>
        </w:rPr>
        <w:t>行政指导是行政机关在其法定职权范围内，通过说服教育、劝导示范、辅导建议、约谈告诫等非强制性方式，引导行政相对人自愿作为或不作为，从而达到行政目的的行政行为。行政指导体现了以人为本的治理理念，具有非强制性、示范引导性、方法灵活多样性、选择可接受性等特征。通过行政指导积极行政可以弥补立法空白、有效调整社会关系，增进行政民主、节约行政成本，保护和增进行政相对人的合法权益，引导行政相对人自觉遵法守法，实现法律效果与社会效果的统一。</w:t>
      </w:r>
    </w:p>
    <w:p>
      <w:pPr>
        <w:spacing w:line="560" w:lineRule="exact"/>
        <w:ind w:firstLine="640" w:firstLineChars="200"/>
        <w:rPr>
          <w:rFonts w:eastAsia="黑体"/>
          <w:sz w:val="32"/>
          <w:szCs w:val="28"/>
        </w:rPr>
      </w:pPr>
      <w:r>
        <w:rPr>
          <w:rFonts w:hAnsi="黑体" w:eastAsia="黑体"/>
          <w:sz w:val="32"/>
          <w:szCs w:val="28"/>
        </w:rPr>
        <w:t>三、基本原则</w:t>
      </w:r>
    </w:p>
    <w:p>
      <w:pPr>
        <w:spacing w:line="560" w:lineRule="exact"/>
        <w:ind w:firstLine="640" w:firstLineChars="200"/>
        <w:rPr>
          <w:rFonts w:hAnsi="仿宋_GB2312" w:eastAsia="仿宋_GB2312"/>
          <w:sz w:val="32"/>
          <w:szCs w:val="28"/>
        </w:rPr>
      </w:pPr>
      <w:r>
        <w:rPr>
          <w:rFonts w:hAnsi="仿宋_GB2312" w:eastAsia="仿宋_GB2312"/>
          <w:sz w:val="32"/>
          <w:szCs w:val="28"/>
        </w:rPr>
        <w:t>行政指导具有非强制性、高效性、灵活性、民主性等特点，对优化服务、完善监管、推动经济社会和谐发展、维护经济社会秩序，为经济社会发展服务，为行政相对人服务等方面具有行政执法不可替代的作用。是提高政府为经济社会发展服务，为人民群众服务的能力和水平和建设服务型政府的一种必要手段。开展行政指导要遵循以下原则：</w:t>
      </w:r>
    </w:p>
    <w:p>
      <w:pPr>
        <w:spacing w:line="560" w:lineRule="exact"/>
        <w:ind w:firstLine="640" w:firstLineChars="200"/>
        <w:rPr>
          <w:rFonts w:hAnsi="仿宋_GB2312" w:eastAsia="仿宋_GB2312"/>
          <w:sz w:val="32"/>
          <w:szCs w:val="28"/>
        </w:rPr>
      </w:pPr>
      <w:r>
        <w:rPr>
          <w:rFonts w:hAnsi="楷体_GB2312" w:eastAsia="楷体_GB2312"/>
          <w:sz w:val="32"/>
          <w:szCs w:val="28"/>
        </w:rPr>
        <w:t>（一）自愿原则。</w:t>
      </w:r>
      <w:r>
        <w:rPr>
          <w:rFonts w:hAnsi="仿宋_GB2312" w:eastAsia="仿宋_GB2312"/>
          <w:sz w:val="32"/>
          <w:szCs w:val="28"/>
        </w:rPr>
        <w:t>实施行政指导应当以行政相对人自愿为前提,能够被当事人认可。不得采取强制或者变相强制等方式迫使行政相对人接受行政指导。</w:t>
      </w:r>
    </w:p>
    <w:p>
      <w:pPr>
        <w:spacing w:line="560" w:lineRule="exact"/>
        <w:ind w:firstLine="640" w:firstLineChars="200"/>
        <w:rPr>
          <w:rFonts w:ascii="仿宋_GB2312" w:hAnsi="仿宋_GB2312" w:eastAsia="仿宋_GB2312"/>
          <w:sz w:val="32"/>
          <w:szCs w:val="28"/>
        </w:rPr>
      </w:pPr>
      <w:r>
        <w:rPr>
          <w:rFonts w:hAnsi="楷体_GB2312" w:eastAsia="楷体_GB2312"/>
          <w:sz w:val="32"/>
          <w:szCs w:val="28"/>
        </w:rPr>
        <w:t>（二）合法原则。</w:t>
      </w:r>
      <w:r>
        <w:rPr>
          <w:rFonts w:hint="eastAsia" w:ascii="仿宋_GB2312" w:hAnsi="仿宋_GB2312" w:eastAsia="仿宋_GB2312"/>
          <w:sz w:val="32"/>
          <w:szCs w:val="28"/>
        </w:rPr>
        <w:t>行政指导的工作内容和实施方式应当在法定职责范围内进行,不得超越法定权限,违反法定程序,不得侵害行政相对人的合法权益。</w:t>
      </w:r>
    </w:p>
    <w:p>
      <w:pPr>
        <w:spacing w:line="560" w:lineRule="exact"/>
        <w:ind w:firstLine="640" w:firstLineChars="200"/>
        <w:rPr>
          <w:rFonts w:ascii="仿宋_GB2312" w:hAnsi="仿宋_GB2312" w:eastAsia="仿宋_GB2312"/>
          <w:sz w:val="32"/>
          <w:szCs w:val="28"/>
        </w:rPr>
      </w:pPr>
      <w:r>
        <w:rPr>
          <w:rFonts w:hAnsi="楷体_GB2312" w:eastAsia="楷体_GB2312"/>
          <w:sz w:val="32"/>
          <w:szCs w:val="28"/>
        </w:rPr>
        <w:t>（三）合理原则。</w:t>
      </w:r>
      <w:r>
        <w:rPr>
          <w:rFonts w:ascii="仿宋_GB2312" w:hAnsi="仿宋_GB2312" w:eastAsia="仿宋_GB2312"/>
          <w:sz w:val="32"/>
          <w:szCs w:val="28"/>
        </w:rPr>
        <w:t>应当优先采取行政指导的方式实现管理目的,采取的方法应当必要、适当。</w:t>
      </w:r>
    </w:p>
    <w:p>
      <w:pPr>
        <w:spacing w:line="560" w:lineRule="exact"/>
        <w:ind w:firstLine="640" w:firstLineChars="200"/>
        <w:rPr>
          <w:rFonts w:ascii="仿宋_GB2312" w:hAnsi="仿宋_GB2312" w:eastAsia="仿宋_GB2312"/>
          <w:sz w:val="32"/>
          <w:szCs w:val="28"/>
        </w:rPr>
      </w:pPr>
      <w:r>
        <w:rPr>
          <w:rFonts w:hAnsi="楷体_GB2312" w:eastAsia="楷体_GB2312"/>
          <w:sz w:val="32"/>
          <w:szCs w:val="28"/>
        </w:rPr>
        <w:t>（四）公正公开原则。</w:t>
      </w:r>
      <w:r>
        <w:rPr>
          <w:rFonts w:ascii="仿宋_GB2312" w:hAnsi="仿宋_GB2312" w:eastAsia="仿宋_GB2312"/>
          <w:sz w:val="32"/>
          <w:szCs w:val="28"/>
        </w:rPr>
        <w:t>实施行政指导的事项应当公开,对待行政相对人要一律平等。</w:t>
      </w:r>
    </w:p>
    <w:p>
      <w:pPr>
        <w:spacing w:line="560" w:lineRule="exact"/>
        <w:ind w:firstLine="640" w:firstLineChars="200"/>
        <w:rPr>
          <w:rFonts w:ascii="仿宋_GB2312" w:hAnsi="仿宋_GB2312" w:eastAsia="仿宋_GB2312"/>
          <w:sz w:val="32"/>
          <w:szCs w:val="28"/>
        </w:rPr>
      </w:pPr>
      <w:r>
        <w:rPr>
          <w:rFonts w:hAnsi="楷体_GB2312" w:eastAsia="楷体_GB2312"/>
          <w:sz w:val="32"/>
          <w:szCs w:val="28"/>
        </w:rPr>
        <w:t>（五）便民利民原则。</w:t>
      </w:r>
      <w:r>
        <w:rPr>
          <w:rFonts w:ascii="仿宋_GB2312" w:hAnsi="仿宋_GB2312" w:eastAsia="仿宋_GB2312"/>
          <w:sz w:val="32"/>
          <w:szCs w:val="28"/>
        </w:rPr>
        <w:t>实施行政指导应当针对不同事项采取灵活多样的方法,为行政相对人提供优质便利服务。实施行政指导要兼顾社会效果和个人权益,做到既维护正常的经济社会管理秩序,又能使行政相对人受益。</w:t>
      </w:r>
    </w:p>
    <w:p>
      <w:pPr>
        <w:spacing w:line="560" w:lineRule="exact"/>
        <w:ind w:firstLine="640" w:firstLineChars="200"/>
        <w:rPr>
          <w:rFonts w:ascii="仿宋_GB2312" w:hAnsi="仿宋_GB2312" w:eastAsia="仿宋_GB2312"/>
          <w:sz w:val="32"/>
          <w:szCs w:val="28"/>
        </w:rPr>
      </w:pPr>
      <w:r>
        <w:rPr>
          <w:rFonts w:hAnsi="楷体_GB2312" w:eastAsia="楷体_GB2312"/>
          <w:sz w:val="32"/>
          <w:szCs w:val="28"/>
        </w:rPr>
        <w:t>（六）效能原则。</w:t>
      </w:r>
      <w:r>
        <w:rPr>
          <w:rFonts w:ascii="仿宋_GB2312" w:hAnsi="仿宋_GB2312" w:eastAsia="仿宋_GB2312"/>
          <w:sz w:val="32"/>
          <w:szCs w:val="28"/>
        </w:rPr>
        <w:t>实施行政指导尽量做到简明高效,以最小的投入取得最大效益。将效率和效益作为衡量行政指导的标准,不得开展无实效或者无实质内容的行政指导,不得给行政相对人带来不必要的负担。</w:t>
      </w:r>
    </w:p>
    <w:p>
      <w:pPr>
        <w:spacing w:line="560" w:lineRule="exact"/>
        <w:ind w:firstLine="640" w:firstLineChars="200"/>
        <w:rPr>
          <w:rFonts w:eastAsia="黑体"/>
          <w:sz w:val="32"/>
          <w:szCs w:val="28"/>
        </w:rPr>
      </w:pPr>
      <w:r>
        <w:rPr>
          <w:rFonts w:hAnsi="黑体" w:eastAsia="黑体"/>
          <w:sz w:val="32"/>
          <w:szCs w:val="28"/>
        </w:rPr>
        <w:t>四、实施方式</w:t>
      </w:r>
    </w:p>
    <w:p>
      <w:pPr>
        <w:spacing w:line="560" w:lineRule="exact"/>
        <w:ind w:firstLine="640" w:firstLineChars="200"/>
        <w:rPr>
          <w:rFonts w:eastAsia="仿宋_GB2312"/>
          <w:sz w:val="32"/>
          <w:szCs w:val="28"/>
        </w:rPr>
      </w:pPr>
      <w:r>
        <w:rPr>
          <w:rFonts w:hAnsi="楷体_GB2312" w:eastAsia="楷体_GB2312"/>
          <w:sz w:val="32"/>
          <w:szCs w:val="28"/>
        </w:rPr>
        <w:t>（一）政策指引。</w:t>
      </w:r>
      <w:r>
        <w:rPr>
          <w:rFonts w:ascii="仿宋_GB2312" w:hAnsi="仿宋_GB2312" w:eastAsia="仿宋_GB2312"/>
          <w:sz w:val="32"/>
          <w:szCs w:val="28"/>
        </w:rPr>
        <w:t>各科室单位对监管的行业领域法律法规和有关政策等通过信息公开等对行政相对人进行引导,提供服务。</w:t>
      </w:r>
    </w:p>
    <w:p>
      <w:pPr>
        <w:spacing w:line="560" w:lineRule="exact"/>
        <w:ind w:firstLine="640" w:firstLineChars="200"/>
        <w:rPr>
          <w:rFonts w:eastAsia="仿宋_GB2312"/>
          <w:sz w:val="32"/>
          <w:szCs w:val="28"/>
        </w:rPr>
      </w:pPr>
      <w:r>
        <w:rPr>
          <w:rFonts w:hAnsi="楷体_GB2312" w:eastAsia="楷体_GB2312"/>
          <w:sz w:val="32"/>
          <w:szCs w:val="28"/>
        </w:rPr>
        <w:t>（二）意见建议。</w:t>
      </w:r>
      <w:r>
        <w:rPr>
          <w:rFonts w:ascii="仿宋_GB2312" w:hAnsi="仿宋_GB2312" w:eastAsia="仿宋_GB2312"/>
          <w:sz w:val="32"/>
          <w:szCs w:val="28"/>
        </w:rPr>
        <w:t>根据管理职能和专业知识,为行政相对人“出主意、提建议”,引导其合法经营,及时消除事故隐患，建立和完善各项管理制度,规范自身行为,促进健康发展。</w:t>
      </w:r>
    </w:p>
    <w:p>
      <w:pPr>
        <w:spacing w:line="560" w:lineRule="exact"/>
        <w:ind w:firstLine="640" w:firstLineChars="200"/>
        <w:rPr>
          <w:rFonts w:ascii="仿宋_GB2312" w:hAnsi="仿宋_GB2312" w:eastAsia="仿宋_GB2312"/>
          <w:sz w:val="32"/>
          <w:szCs w:val="28"/>
        </w:rPr>
      </w:pPr>
      <w:r>
        <w:rPr>
          <w:rFonts w:hAnsi="楷体_GB2312" w:eastAsia="楷体_GB2312"/>
          <w:sz w:val="32"/>
          <w:szCs w:val="28"/>
        </w:rPr>
        <w:t>（三）提示提醒。</w:t>
      </w:r>
      <w:r>
        <w:rPr>
          <w:rFonts w:ascii="仿宋_GB2312" w:hAnsi="仿宋_GB2312" w:eastAsia="仿宋_GB2312"/>
          <w:sz w:val="32"/>
          <w:szCs w:val="28"/>
        </w:rPr>
        <w:t>在监督检查过程中,对于行政相对人可能出现行政违法问题的,可以制定行政指导意见书,提示其及时纠正。对发现的安全生产、自然灾害风险隐患，及时提醒行政相对人落实防控措施。根据群众投诉举报情况和日常监管执法数据分析等,对某些时段、某些领域违法频率高或者可能发生违法行为等情形的,及时向行政相对人宣传、解释法律法规,告知管理要求,提示、提醒其按照法律规定和政策要求履行义务,加强自律,最大限度的减少违法违规行为。</w:t>
      </w:r>
    </w:p>
    <w:p>
      <w:pPr>
        <w:spacing w:line="560" w:lineRule="exact"/>
        <w:ind w:firstLine="640" w:firstLineChars="200"/>
        <w:rPr>
          <w:rFonts w:ascii="仿宋_GB2312" w:hAnsi="仿宋_GB2312" w:eastAsia="仿宋_GB2312"/>
          <w:sz w:val="32"/>
          <w:szCs w:val="28"/>
        </w:rPr>
      </w:pPr>
      <w:r>
        <w:rPr>
          <w:rFonts w:hAnsi="楷体_GB2312" w:eastAsia="楷体_GB2312"/>
          <w:sz w:val="32"/>
          <w:szCs w:val="28"/>
        </w:rPr>
        <w:t>（四）劝导警示。</w:t>
      </w:r>
      <w:r>
        <w:rPr>
          <w:rFonts w:ascii="仿宋_GB2312" w:hAnsi="仿宋_GB2312" w:eastAsia="仿宋_GB2312"/>
          <w:sz w:val="32"/>
          <w:szCs w:val="28"/>
        </w:rPr>
        <w:t>根据《山东省轻微违法行为不予行政处罚和一般违法行为减轻行政处罚事项清单》，对违法情节轻微、无主观故意并及时纠正、没有造成危害后果的,纳入清单管理，依法不予行政处罚，告知其立即纠正违法行为,规劝其承诺不再发生类似违法行为。</w:t>
      </w:r>
    </w:p>
    <w:p>
      <w:pPr>
        <w:spacing w:line="560" w:lineRule="exact"/>
        <w:ind w:firstLine="640" w:firstLineChars="200"/>
        <w:rPr>
          <w:rFonts w:eastAsia="仿宋_GB2312"/>
          <w:sz w:val="32"/>
          <w:szCs w:val="28"/>
        </w:rPr>
      </w:pPr>
      <w:r>
        <w:rPr>
          <w:rFonts w:hAnsi="楷体_GB2312" w:eastAsia="楷体_GB2312"/>
          <w:sz w:val="32"/>
          <w:szCs w:val="28"/>
        </w:rPr>
        <w:t>（五）示范引领。</w:t>
      </w:r>
      <w:r>
        <w:rPr>
          <w:rFonts w:ascii="仿宋_GB2312" w:hAnsi="仿宋_GB2312" w:eastAsia="仿宋_GB2312"/>
          <w:sz w:val="32"/>
          <w:szCs w:val="28"/>
        </w:rPr>
        <w:t>通过给予行政相对人表扬鼓励等,引导其从事某种特定活动,达到管理目的。</w:t>
      </w:r>
    </w:p>
    <w:p>
      <w:pPr>
        <w:spacing w:line="560" w:lineRule="exact"/>
        <w:ind w:firstLine="640" w:firstLineChars="200"/>
        <w:rPr>
          <w:rFonts w:ascii="仿宋_GB2312" w:hAnsi="仿宋_GB2312" w:eastAsia="仿宋_GB2312"/>
          <w:sz w:val="32"/>
          <w:szCs w:val="28"/>
        </w:rPr>
      </w:pPr>
      <w:r>
        <w:rPr>
          <w:rFonts w:hAnsi="楷体_GB2312" w:eastAsia="楷体_GB2312"/>
          <w:sz w:val="32"/>
          <w:szCs w:val="28"/>
        </w:rPr>
        <w:t>（六）案件回访。</w:t>
      </w:r>
      <w:r>
        <w:rPr>
          <w:rFonts w:ascii="仿宋_GB2312" w:hAnsi="仿宋_GB2312" w:eastAsia="仿宋_GB2312"/>
          <w:sz w:val="32"/>
          <w:szCs w:val="28"/>
        </w:rPr>
        <w:t>对重大执法案件定期或者不定期地进行回访,回访时，结合廉政回访内容，执法人员记录企业违法行为整改情况，了解对应急管理监管执法工作意见、建议以及需要帮助解决的问题，监督办案人员廉洁执法等情况。同时举一反三,发布典型案例,指导行政相对人自觉遵守法律法规。</w:t>
      </w:r>
    </w:p>
    <w:p>
      <w:pPr>
        <w:spacing w:line="560" w:lineRule="exact"/>
        <w:ind w:firstLine="640" w:firstLineChars="200"/>
        <w:rPr>
          <w:rFonts w:eastAsia="仿宋_GB2312"/>
          <w:sz w:val="32"/>
          <w:szCs w:val="28"/>
        </w:rPr>
      </w:pPr>
      <w:r>
        <w:rPr>
          <w:rFonts w:hAnsi="黑体" w:eastAsia="黑体"/>
          <w:sz w:val="32"/>
          <w:szCs w:val="28"/>
        </w:rPr>
        <w:t>五、措施要求</w:t>
      </w:r>
    </w:p>
    <w:p>
      <w:pPr>
        <w:spacing w:line="560" w:lineRule="exact"/>
        <w:ind w:firstLine="640" w:firstLineChars="200"/>
        <w:rPr>
          <w:rFonts w:eastAsia="仿宋_GB2312"/>
          <w:sz w:val="32"/>
          <w:szCs w:val="28"/>
        </w:rPr>
      </w:pPr>
      <w:r>
        <w:rPr>
          <w:rFonts w:hAnsi="楷体_GB2312" w:eastAsia="楷体_GB2312"/>
          <w:sz w:val="32"/>
          <w:szCs w:val="28"/>
        </w:rPr>
        <w:t>（一）强化组织领导。</w:t>
      </w:r>
      <w:r>
        <w:rPr>
          <w:rFonts w:ascii="仿宋_GB2312" w:hAnsi="仿宋_GB2312" w:eastAsia="仿宋_GB2312"/>
          <w:sz w:val="32"/>
          <w:szCs w:val="28"/>
        </w:rPr>
        <w:t>各科室单位要切实转变观念,提高认识,将行政指导作为加强监管执法的重要抓手。按照主要负责人负总责、分管领导重点抓、法制机构审查指导、监管执法人员具体实施的工作体制机制，加强对监管执法人员学习培训,确保监管执法人员准确把握行政指导的原则要求和方式方法,提高工作质效。各科室单位在办理行政许可事项、开展行政检查和行政处罚及其他需要开展的行政指导事项后要及时填写行政指导文书，行政指导有关文书和目录清单参考样本</w:t>
      </w:r>
      <w:r>
        <w:rPr>
          <w:rFonts w:eastAsia="仿宋_GB2312"/>
          <w:sz w:val="32"/>
          <w:szCs w:val="32"/>
        </w:rPr>
        <w:t>（附件1、2、4）。</w:t>
      </w:r>
      <w:r>
        <w:rPr>
          <w:rFonts w:hint="eastAsia" w:ascii="仿宋_GB2312" w:hAnsi="仿宋_GB2312" w:eastAsia="仿宋_GB2312"/>
          <w:sz w:val="32"/>
          <w:szCs w:val="28"/>
        </w:rPr>
        <w:t>各科室单位</w:t>
      </w:r>
      <w:r>
        <w:rPr>
          <w:rFonts w:hint="eastAsia" w:ascii="仿宋_GB2312" w:eastAsia="仿宋_GB2312"/>
          <w:sz w:val="32"/>
          <w:szCs w:val="32"/>
        </w:rPr>
        <w:t>办理行政指导事项后要认真填写行政指导文书和行政指导事项登记簿（</w:t>
      </w:r>
      <w:r>
        <w:rPr>
          <w:rFonts w:eastAsia="仿宋_GB2312"/>
          <w:sz w:val="32"/>
          <w:szCs w:val="32"/>
        </w:rPr>
        <w:t>附件3）</w:t>
      </w:r>
      <w:r>
        <w:rPr>
          <w:rFonts w:hint="eastAsia" w:ascii="仿宋_GB2312" w:eastAsia="仿宋_GB2312"/>
          <w:sz w:val="32"/>
          <w:szCs w:val="32"/>
        </w:rPr>
        <w:t>，</w:t>
      </w:r>
      <w:r>
        <w:rPr>
          <w:rFonts w:ascii="仿宋_GB2312" w:hAnsi="仿宋_GB2312" w:eastAsia="仿宋_GB2312"/>
          <w:sz w:val="32"/>
          <w:szCs w:val="28"/>
        </w:rPr>
        <w:t>并于三天内报局法制宣传科备案。法制宣传科要加强对监管执法科室办理的行政指导事项的审查和备案工作，发现问题及时纠正。</w:t>
      </w:r>
    </w:p>
    <w:p>
      <w:pPr>
        <w:spacing w:line="560" w:lineRule="exact"/>
        <w:ind w:firstLine="640" w:firstLineChars="200"/>
        <w:rPr>
          <w:rFonts w:ascii="仿宋_GB2312" w:eastAsia="仿宋_GB2312"/>
          <w:sz w:val="32"/>
          <w:szCs w:val="28"/>
        </w:rPr>
      </w:pPr>
      <w:r>
        <w:rPr>
          <w:rFonts w:hAnsi="楷体_GB2312" w:eastAsia="楷体_GB2312"/>
          <w:sz w:val="32"/>
          <w:szCs w:val="28"/>
        </w:rPr>
        <w:t>（二）稳步推进实施。</w:t>
      </w:r>
      <w:r>
        <w:rPr>
          <w:rFonts w:hint="eastAsia" w:ascii="仿宋_GB2312" w:hAnsi="仿宋_GB2312" w:eastAsia="仿宋_GB2312"/>
          <w:sz w:val="32"/>
          <w:szCs w:val="28"/>
        </w:rPr>
        <w:t>各科室单位要细化工作落实措施</w:t>
      </w:r>
      <w:r>
        <w:rPr>
          <w:rFonts w:hint="eastAsia" w:ascii="仿宋_GB2312" w:eastAsia="仿宋_GB2312"/>
          <w:sz w:val="32"/>
          <w:szCs w:val="28"/>
        </w:rPr>
        <w:t>,</w:t>
      </w:r>
      <w:r>
        <w:rPr>
          <w:rFonts w:hint="eastAsia" w:ascii="仿宋_GB2312" w:hAnsi="仿宋_GB2312" w:eastAsia="仿宋_GB2312"/>
          <w:sz w:val="32"/>
          <w:szCs w:val="28"/>
        </w:rPr>
        <w:t>做到行政指导具体化、规范化，规范运用行政指导程序和行政指导文书，将行政指导融入到监管执法全领域、全过程</w:t>
      </w:r>
      <w:r>
        <w:rPr>
          <w:rFonts w:hint="eastAsia" w:ascii="仿宋_GB2312" w:eastAsia="仿宋_GB2312"/>
          <w:sz w:val="32"/>
          <w:szCs w:val="28"/>
        </w:rPr>
        <w:t>,</w:t>
      </w:r>
      <w:r>
        <w:rPr>
          <w:rFonts w:hint="eastAsia" w:ascii="仿宋_GB2312" w:hAnsi="仿宋_GB2312" w:eastAsia="仿宋_GB2312"/>
          <w:sz w:val="32"/>
          <w:szCs w:val="28"/>
        </w:rPr>
        <w:t>贯穿在监管执法的事前、事中、事后各个环节</w:t>
      </w:r>
      <w:r>
        <w:rPr>
          <w:rFonts w:hint="eastAsia" w:ascii="仿宋_GB2312" w:eastAsia="仿宋_GB2312"/>
          <w:sz w:val="32"/>
          <w:szCs w:val="28"/>
        </w:rPr>
        <w:t>,</w:t>
      </w:r>
      <w:r>
        <w:rPr>
          <w:rFonts w:hint="eastAsia" w:ascii="仿宋_GB2312" w:hAnsi="仿宋_GB2312" w:eastAsia="仿宋_GB2312"/>
          <w:sz w:val="32"/>
          <w:szCs w:val="28"/>
        </w:rPr>
        <w:t>做到行政指导在监管执法的全过程覆盖。行政指导事项目录清单在网站向社会公开</w:t>
      </w:r>
      <w:r>
        <w:rPr>
          <w:rFonts w:hint="eastAsia" w:ascii="仿宋_GB2312" w:eastAsia="仿宋_GB2312"/>
          <w:sz w:val="32"/>
          <w:szCs w:val="28"/>
        </w:rPr>
        <w:t>,</w:t>
      </w:r>
      <w:r>
        <w:rPr>
          <w:rFonts w:hint="eastAsia" w:ascii="仿宋_GB2312" w:hAnsi="仿宋_GB2312" w:eastAsia="仿宋_GB2312"/>
          <w:sz w:val="32"/>
          <w:szCs w:val="28"/>
        </w:rPr>
        <w:t>并上传到淄博市涉企检查网络备案系统</w:t>
      </w:r>
      <w:r>
        <w:rPr>
          <w:rFonts w:hint="eastAsia" w:ascii="仿宋_GB2312" w:eastAsia="仿宋_GB2312"/>
          <w:sz w:val="32"/>
          <w:szCs w:val="28"/>
        </w:rPr>
        <w:t>“</w:t>
      </w:r>
      <w:r>
        <w:rPr>
          <w:rFonts w:hint="eastAsia" w:ascii="仿宋_GB2312" w:hAnsi="仿宋_GB2312" w:eastAsia="仿宋_GB2312"/>
          <w:sz w:val="32"/>
          <w:szCs w:val="28"/>
        </w:rPr>
        <w:t>行政指导专区</w:t>
      </w:r>
      <w:r>
        <w:rPr>
          <w:rFonts w:hint="eastAsia" w:ascii="仿宋_GB2312" w:eastAsia="仿宋_GB2312"/>
          <w:sz w:val="32"/>
          <w:szCs w:val="28"/>
        </w:rPr>
        <w:t>”</w:t>
      </w:r>
      <w:r>
        <w:rPr>
          <w:rFonts w:hint="eastAsia" w:ascii="仿宋_GB2312" w:hAnsi="仿宋_GB2312" w:eastAsia="仿宋_GB2312"/>
          <w:sz w:val="32"/>
          <w:szCs w:val="28"/>
        </w:rPr>
        <w:t>。同时，要注意避免用行政指导代替行政执法</w:t>
      </w:r>
      <w:r>
        <w:rPr>
          <w:rFonts w:hint="eastAsia" w:ascii="仿宋_GB2312" w:eastAsia="仿宋_GB2312"/>
          <w:sz w:val="32"/>
          <w:szCs w:val="28"/>
        </w:rPr>
        <w:t>,</w:t>
      </w:r>
      <w:r>
        <w:rPr>
          <w:rFonts w:hint="eastAsia" w:ascii="仿宋_GB2312" w:hAnsi="仿宋_GB2312" w:eastAsia="仿宋_GB2312"/>
          <w:sz w:val="32"/>
          <w:szCs w:val="28"/>
        </w:rPr>
        <w:t>造成行政不作为或乱作为。要注意行政指导的合法适当</w:t>
      </w:r>
      <w:r>
        <w:rPr>
          <w:rFonts w:hint="eastAsia" w:ascii="仿宋_GB2312" w:eastAsia="仿宋_GB2312"/>
          <w:sz w:val="32"/>
          <w:szCs w:val="28"/>
        </w:rPr>
        <w:t>,</w:t>
      </w:r>
      <w:r>
        <w:rPr>
          <w:rFonts w:hint="eastAsia" w:ascii="仿宋_GB2312" w:hAnsi="仿宋_GB2312" w:eastAsia="仿宋_GB2312"/>
          <w:sz w:val="32"/>
          <w:szCs w:val="28"/>
        </w:rPr>
        <w:t>避免因行政指导产生行政纠纷</w:t>
      </w:r>
      <w:r>
        <w:rPr>
          <w:rFonts w:hint="eastAsia" w:ascii="仿宋_GB2312" w:eastAsia="仿宋_GB2312"/>
          <w:sz w:val="32"/>
          <w:szCs w:val="28"/>
        </w:rPr>
        <w:t>,</w:t>
      </w:r>
      <w:r>
        <w:rPr>
          <w:rFonts w:hint="eastAsia" w:ascii="仿宋_GB2312" w:hAnsi="仿宋_GB2312" w:eastAsia="仿宋_GB2312"/>
          <w:sz w:val="32"/>
          <w:szCs w:val="28"/>
        </w:rPr>
        <w:t>实现行政指导与规范执法的高度和谐。</w:t>
      </w:r>
    </w:p>
    <w:p>
      <w:pPr>
        <w:spacing w:line="560" w:lineRule="exact"/>
        <w:ind w:firstLine="640" w:firstLineChars="200"/>
        <w:rPr>
          <w:rFonts w:eastAsia="仿宋_GB2312"/>
          <w:color w:val="FF0000"/>
          <w:sz w:val="32"/>
          <w:szCs w:val="28"/>
        </w:rPr>
      </w:pPr>
      <w:r>
        <w:rPr>
          <w:rFonts w:hAnsi="楷体_GB2312" w:eastAsia="楷体_GB2312"/>
          <w:sz w:val="32"/>
          <w:szCs w:val="28"/>
        </w:rPr>
        <w:t>（三）务求工作实效。</w:t>
      </w:r>
      <w:r>
        <w:rPr>
          <w:rFonts w:hint="eastAsia" w:ascii="仿宋_GB2312" w:hAnsi="仿宋_GB2312" w:eastAsia="仿宋_GB2312"/>
          <w:sz w:val="32"/>
          <w:szCs w:val="28"/>
        </w:rPr>
        <w:t>积极探索开展行政指导的有效途径</w:t>
      </w:r>
      <w:r>
        <w:rPr>
          <w:rFonts w:hint="eastAsia" w:ascii="仿宋_GB2312" w:eastAsia="仿宋_GB2312"/>
          <w:sz w:val="32"/>
          <w:szCs w:val="28"/>
        </w:rPr>
        <w:t>,</w:t>
      </w:r>
      <w:r>
        <w:rPr>
          <w:rFonts w:hint="eastAsia" w:ascii="仿宋_GB2312" w:hAnsi="仿宋_GB2312" w:eastAsia="仿宋_GB2312"/>
          <w:sz w:val="32"/>
          <w:szCs w:val="28"/>
        </w:rPr>
        <w:t>创新工作思路</w:t>
      </w:r>
      <w:r>
        <w:rPr>
          <w:rFonts w:hint="eastAsia" w:ascii="仿宋_GB2312" w:eastAsia="仿宋_GB2312"/>
          <w:sz w:val="32"/>
          <w:szCs w:val="28"/>
        </w:rPr>
        <w:t>,</w:t>
      </w:r>
      <w:r>
        <w:rPr>
          <w:rFonts w:hint="eastAsia" w:ascii="仿宋_GB2312" w:hAnsi="仿宋_GB2312" w:eastAsia="仿宋_GB2312"/>
          <w:sz w:val="32"/>
          <w:szCs w:val="28"/>
        </w:rPr>
        <w:t>逐步完善行政指导工作机制。各科室单位要高度重视，发挥信息资源和专业优势</w:t>
      </w:r>
      <w:r>
        <w:rPr>
          <w:rFonts w:hint="eastAsia" w:ascii="仿宋_GB2312" w:eastAsia="仿宋_GB2312"/>
          <w:sz w:val="32"/>
          <w:szCs w:val="28"/>
        </w:rPr>
        <w:t>,</w:t>
      </w:r>
      <w:r>
        <w:rPr>
          <w:rFonts w:hint="eastAsia" w:ascii="仿宋_GB2312" w:hAnsi="仿宋_GB2312" w:eastAsia="仿宋_GB2312"/>
          <w:sz w:val="32"/>
          <w:szCs w:val="28"/>
        </w:rPr>
        <w:t>在各自监管执法领域开展行政指导</w:t>
      </w:r>
      <w:r>
        <w:rPr>
          <w:rFonts w:hint="eastAsia" w:ascii="仿宋_GB2312" w:eastAsia="仿宋_GB2312"/>
          <w:sz w:val="32"/>
          <w:szCs w:val="28"/>
        </w:rPr>
        <w:t>,</w:t>
      </w:r>
      <w:r>
        <w:rPr>
          <w:rFonts w:hint="eastAsia" w:ascii="仿宋_GB2312" w:hAnsi="仿宋_GB2312" w:eastAsia="仿宋_GB2312"/>
          <w:sz w:val="32"/>
          <w:szCs w:val="28"/>
        </w:rPr>
        <w:t>做到善于使用行政指导开展工作，提高监管执法实效。</w:t>
      </w:r>
    </w:p>
    <w:p>
      <w:pPr>
        <w:pStyle w:val="6"/>
        <w:ind w:left="0" w:leftChars="0" w:firstLine="0" w:firstLineChars="0"/>
        <w:rPr>
          <w:rFonts w:eastAsia="仿宋_GB2312"/>
          <w:color w:val="FF0000"/>
          <w:sz w:val="32"/>
          <w:szCs w:val="28"/>
        </w:rPr>
      </w:pPr>
    </w:p>
    <w:p>
      <w:pPr>
        <w:pStyle w:val="6"/>
        <w:ind w:firstLine="640"/>
        <w:rPr>
          <w:rFonts w:eastAsia="仿宋_GB2312"/>
          <w:sz w:val="32"/>
          <w:szCs w:val="28"/>
        </w:rPr>
      </w:pPr>
    </w:p>
    <w:p>
      <w:pPr>
        <w:spacing w:line="560" w:lineRule="exact"/>
        <w:ind w:firstLine="640" w:firstLineChars="200"/>
        <w:rPr>
          <w:rFonts w:eastAsia="仿宋_GB2312"/>
          <w:sz w:val="32"/>
          <w:szCs w:val="28"/>
        </w:rPr>
      </w:pPr>
      <w:r>
        <w:rPr>
          <w:rFonts w:hAnsi="仿宋_GB2312" w:eastAsia="仿宋_GB2312"/>
          <w:sz w:val="32"/>
          <w:szCs w:val="28"/>
        </w:rPr>
        <w:t>附件：</w:t>
      </w:r>
      <w:r>
        <w:rPr>
          <w:rFonts w:eastAsia="仿宋_GB2312"/>
          <w:sz w:val="32"/>
          <w:szCs w:val="28"/>
        </w:rPr>
        <w:t>1.</w:t>
      </w:r>
      <w:r>
        <w:rPr>
          <w:rFonts w:hAnsi="仿宋_GB2312" w:eastAsia="仿宋_GB2312"/>
          <w:sz w:val="32"/>
          <w:szCs w:val="28"/>
        </w:rPr>
        <w:t>行政指导文书</w:t>
      </w:r>
    </w:p>
    <w:p>
      <w:pPr>
        <w:spacing w:line="560" w:lineRule="exact"/>
        <w:ind w:firstLine="1600" w:firstLineChars="500"/>
        <w:rPr>
          <w:rFonts w:eastAsia="仿宋_GB2312"/>
          <w:sz w:val="32"/>
          <w:szCs w:val="28"/>
        </w:rPr>
      </w:pPr>
      <w:r>
        <w:rPr>
          <w:rFonts w:eastAsia="仿宋_GB2312"/>
          <w:sz w:val="32"/>
          <w:szCs w:val="28"/>
        </w:rPr>
        <w:t>2.</w:t>
      </w:r>
      <w:r>
        <w:rPr>
          <w:rFonts w:hAnsi="仿宋_GB2312" w:eastAsia="仿宋_GB2312"/>
          <w:sz w:val="32"/>
          <w:szCs w:val="28"/>
        </w:rPr>
        <w:t>行政指导意见书</w:t>
      </w:r>
    </w:p>
    <w:p>
      <w:pPr>
        <w:spacing w:line="560" w:lineRule="exact"/>
        <w:ind w:firstLine="1600" w:firstLineChars="500"/>
        <w:rPr>
          <w:rFonts w:eastAsia="仿宋_GB2312"/>
          <w:sz w:val="32"/>
          <w:szCs w:val="28"/>
        </w:rPr>
      </w:pPr>
      <w:r>
        <w:rPr>
          <w:rFonts w:eastAsia="仿宋_GB2312"/>
          <w:sz w:val="32"/>
          <w:szCs w:val="28"/>
        </w:rPr>
        <w:t>3.</w:t>
      </w:r>
      <w:r>
        <w:rPr>
          <w:rFonts w:hAnsi="仿宋_GB2312" w:eastAsia="仿宋_GB2312"/>
          <w:sz w:val="32"/>
          <w:szCs w:val="28"/>
        </w:rPr>
        <w:t>行政指导事项登记备案表</w:t>
      </w:r>
    </w:p>
    <w:p>
      <w:pPr>
        <w:spacing w:line="560" w:lineRule="exact"/>
        <w:ind w:firstLine="1600" w:firstLineChars="500"/>
        <w:rPr>
          <w:rFonts w:eastAsia="仿宋_GB2312"/>
          <w:sz w:val="32"/>
          <w:szCs w:val="28"/>
        </w:rPr>
      </w:pPr>
      <w:r>
        <w:rPr>
          <w:rFonts w:eastAsia="仿宋_GB2312"/>
          <w:sz w:val="32"/>
          <w:szCs w:val="28"/>
        </w:rPr>
        <w:t>4.</w:t>
      </w:r>
      <w:r>
        <w:rPr>
          <w:rFonts w:hAnsi="仿宋_GB2312" w:eastAsia="仿宋_GB2312"/>
          <w:sz w:val="32"/>
          <w:szCs w:val="28"/>
        </w:rPr>
        <w:t>周村区应急管理局行政指导目录清单</w:t>
      </w:r>
    </w:p>
    <w:p>
      <w:pPr>
        <w:spacing w:line="560" w:lineRule="exact"/>
        <w:rPr>
          <w:rFonts w:ascii="仿宋_GB2312" w:hAnsi="仿宋_GB2312" w:eastAsia="仿宋_GB2312" w:cs="仿宋_GB2312"/>
          <w:sz w:val="32"/>
          <w:szCs w:val="28"/>
        </w:rPr>
      </w:pPr>
      <w:r>
        <w:rPr>
          <w:rFonts w:ascii="仿宋_GB2312" w:hAnsi="仿宋_GB2312" w:eastAsia="仿宋_GB2312" w:cs="仿宋_GB2312"/>
          <w:sz w:val="32"/>
          <w:szCs w:val="28"/>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行政指导文书</w:t>
      </w:r>
    </w:p>
    <w:p>
      <w:pPr>
        <w:spacing w:line="560" w:lineRule="exact"/>
        <w:jc w:val="center"/>
        <w:rPr>
          <w:rFonts w:ascii="仿宋_GB2312" w:hAnsi="仿宋_GB2312" w:eastAsia="仿宋_GB2312" w:cs="仿宋_GB2312"/>
          <w:sz w:val="28"/>
        </w:rPr>
      </w:pPr>
      <w:r>
        <w:rPr>
          <w:rFonts w:hint="eastAsia" w:ascii="仿宋_GB2312" w:hAnsi="仿宋_GB2312" w:eastAsia="仿宋_GB2312" w:cs="仿宋_GB2312"/>
          <w:sz w:val="28"/>
        </w:rPr>
        <w:t>周应急指导书</w:t>
      </w:r>
      <w:r>
        <w:rPr>
          <w:rFonts w:hint="eastAsia" w:ascii="仿宋_GB2312" w:eastAsia="仿宋_GB2312"/>
          <w:color w:val="000000"/>
          <w:sz w:val="28"/>
          <w:szCs w:val="28"/>
        </w:rPr>
        <w:t>〔2021〕</w:t>
      </w:r>
      <w:r>
        <w:rPr>
          <w:rFonts w:hint="eastAsia" w:ascii="仿宋_GB2312" w:hAnsi="仿宋_GB2312" w:eastAsia="仿宋_GB2312" w:cs="仿宋_GB2312"/>
          <w:sz w:val="28"/>
        </w:rPr>
        <w:t xml:space="preserve">   号</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单位：（公章）</w:t>
      </w:r>
    </w:p>
    <w:tbl>
      <w:tblPr>
        <w:tblStyle w:val="8"/>
        <w:tblpPr w:leftFromText="180" w:rightFromText="180" w:vertAnchor="text" w:horzAnchor="page" w:tblpXSpec="center" w:tblpY="394"/>
        <w:tblOverlap w:val="never"/>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2067"/>
        <w:gridCol w:w="1383"/>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07" w:type="dxa"/>
            <w:noWrap/>
          </w:tcPr>
          <w:p>
            <w:pPr>
              <w:spacing w:line="560" w:lineRule="exact"/>
              <w:rPr>
                <w:rFonts w:ascii="仿宋_GB2312" w:hAnsi="仿宋_GB2312" w:eastAsia="仿宋_GB2312" w:cs="仿宋_GB2312"/>
              </w:rPr>
            </w:pPr>
            <w:r>
              <w:rPr>
                <w:rFonts w:hint="eastAsia" w:ascii="仿宋_GB2312" w:hAnsi="仿宋_GB2312" w:eastAsia="仿宋_GB2312" w:cs="仿宋_GB2312"/>
                <w:sz w:val="28"/>
                <w:szCs w:val="28"/>
              </w:rPr>
              <w:t>指导时间</w:t>
            </w:r>
          </w:p>
        </w:tc>
        <w:tc>
          <w:tcPr>
            <w:tcW w:w="2067" w:type="dxa"/>
            <w:noWrap/>
          </w:tcPr>
          <w:p>
            <w:pPr>
              <w:spacing w:line="560" w:lineRule="exact"/>
              <w:rPr>
                <w:rFonts w:ascii="仿宋_GB2312" w:hAnsi="仿宋_GB2312" w:eastAsia="仿宋_GB2312" w:cs="仿宋_GB2312"/>
              </w:rPr>
            </w:pPr>
          </w:p>
        </w:tc>
        <w:tc>
          <w:tcPr>
            <w:tcW w:w="1383" w:type="dxa"/>
            <w:noWrap/>
          </w:tcPr>
          <w:p>
            <w:pPr>
              <w:spacing w:line="560" w:lineRule="exact"/>
              <w:rPr>
                <w:rFonts w:ascii="仿宋_GB2312" w:hAnsi="仿宋_GB2312" w:eastAsia="仿宋_GB2312" w:cs="仿宋_GB2312"/>
              </w:rPr>
            </w:pPr>
            <w:r>
              <w:rPr>
                <w:rFonts w:hint="eastAsia" w:ascii="仿宋_GB2312" w:hAnsi="仿宋_GB2312" w:eastAsia="仿宋_GB2312" w:cs="仿宋_GB2312"/>
                <w:sz w:val="28"/>
                <w:szCs w:val="28"/>
              </w:rPr>
              <w:t>指导地点</w:t>
            </w:r>
          </w:p>
        </w:tc>
        <w:tc>
          <w:tcPr>
            <w:tcW w:w="3875" w:type="dxa"/>
            <w:noWrap/>
          </w:tcPr>
          <w:p>
            <w:pPr>
              <w:spacing w:line="56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07" w:type="dxa"/>
            <w:noWrap/>
          </w:tcPr>
          <w:p>
            <w:pPr>
              <w:spacing w:line="560" w:lineRule="exact"/>
              <w:rPr>
                <w:rFonts w:ascii="仿宋_GB2312" w:hAnsi="仿宋_GB2312" w:eastAsia="仿宋_GB2312" w:cs="仿宋_GB2312"/>
              </w:rPr>
            </w:pPr>
            <w:r>
              <w:rPr>
                <w:rFonts w:hint="eastAsia" w:ascii="仿宋_GB2312" w:hAnsi="仿宋_GB2312" w:eastAsia="仿宋_GB2312" w:cs="仿宋_GB2312"/>
                <w:sz w:val="28"/>
                <w:szCs w:val="28"/>
              </w:rPr>
              <w:t>指导人员</w:t>
            </w:r>
          </w:p>
        </w:tc>
        <w:tc>
          <w:tcPr>
            <w:tcW w:w="2067" w:type="dxa"/>
            <w:noWrap/>
          </w:tcPr>
          <w:p>
            <w:pPr>
              <w:spacing w:line="560" w:lineRule="exact"/>
              <w:rPr>
                <w:rFonts w:ascii="仿宋_GB2312" w:hAnsi="仿宋_GB2312" w:eastAsia="仿宋_GB2312" w:cs="仿宋_GB2312"/>
              </w:rPr>
            </w:pPr>
          </w:p>
        </w:tc>
        <w:tc>
          <w:tcPr>
            <w:tcW w:w="1383" w:type="dxa"/>
            <w:noWrap/>
          </w:tcPr>
          <w:p>
            <w:pPr>
              <w:spacing w:line="560" w:lineRule="exact"/>
              <w:rPr>
                <w:rFonts w:ascii="仿宋_GB2312" w:hAnsi="仿宋_GB2312" w:eastAsia="仿宋_GB2312" w:cs="仿宋_GB2312"/>
              </w:rPr>
            </w:pPr>
            <w:r>
              <w:rPr>
                <w:rFonts w:hint="eastAsia" w:ascii="仿宋_GB2312" w:hAnsi="仿宋_GB2312" w:eastAsia="仿宋_GB2312" w:cs="仿宋_GB2312"/>
                <w:sz w:val="28"/>
                <w:szCs w:val="28"/>
              </w:rPr>
              <w:t>指导对象</w:t>
            </w:r>
          </w:p>
        </w:tc>
        <w:tc>
          <w:tcPr>
            <w:tcW w:w="3875" w:type="dxa"/>
            <w:noWrap/>
          </w:tcPr>
          <w:p>
            <w:pPr>
              <w:spacing w:line="56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jc w:val="center"/>
        </w:trPr>
        <w:tc>
          <w:tcPr>
            <w:tcW w:w="8732" w:type="dxa"/>
            <w:gridSpan w:val="4"/>
            <w:noWrap/>
          </w:tcPr>
          <w:p>
            <w:pPr>
              <w:spacing w:line="560" w:lineRule="exact"/>
              <w:rPr>
                <w:rFonts w:ascii="仿宋_GB2312" w:hAnsi="仿宋_GB2312" w:eastAsia="仿宋_GB2312" w:cs="仿宋_GB2312"/>
              </w:rPr>
            </w:pPr>
            <w:r>
              <w:rPr>
                <w:rFonts w:hint="eastAsia" w:ascii="仿宋_GB2312" w:hAnsi="仿宋_GB2312" w:eastAsia="仿宋_GB2312" w:cs="仿宋_GB2312"/>
                <w:sz w:val="28"/>
                <w:szCs w:val="28"/>
              </w:rPr>
              <w:t>指导内容（事项）：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8732" w:type="dxa"/>
            <w:gridSpan w:val="4"/>
            <w:noWrap/>
          </w:tcPr>
          <w:p>
            <w:pPr>
              <w:spacing w:line="560" w:lineRule="exact"/>
              <w:rPr>
                <w:rFonts w:ascii="仿宋_GB2312" w:hAnsi="仿宋_GB2312" w:eastAsia="仿宋_GB2312" w:cs="仿宋_GB2312"/>
              </w:rPr>
            </w:pPr>
            <w:r>
              <w:rPr>
                <w:rFonts w:hint="eastAsia" w:ascii="仿宋_GB2312" w:hAnsi="仿宋_GB2312" w:eastAsia="仿宋_GB2312" w:cs="仿宋_GB2312"/>
                <w:sz w:val="28"/>
                <w:szCs w:val="28"/>
              </w:rPr>
              <w:t>指导取得的效益、效果：</w:t>
            </w:r>
          </w:p>
        </w:tc>
      </w:tr>
    </w:tbl>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pStyle w:val="14"/>
        <w:spacing w:after="0" w:line="560" w:lineRule="exact"/>
        <w:rPr>
          <w:rFonts w:ascii="仿宋_GB2312" w:hAnsi="楷体_GB2312" w:eastAsia="方正小标宋简体" w:cs="楷体_GB2312"/>
          <w:lang w:eastAsia="zh-CN"/>
        </w:rPr>
      </w:pPr>
      <w:r>
        <w:rPr>
          <w:rFonts w:hint="eastAsia" w:ascii="方正小标宋简体" w:hAnsi="方正小标宋简体" w:eastAsia="方正小标宋简体" w:cs="方正小标宋简体"/>
          <w:color w:val="000000"/>
          <w:sz w:val="44"/>
          <w:szCs w:val="44"/>
        </w:rPr>
        <w:t>行政指导意见书</w:t>
      </w:r>
    </w:p>
    <w:p>
      <w:pPr>
        <w:pStyle w:val="15"/>
        <w:tabs>
          <w:tab w:val="left" w:pos="2021"/>
        </w:tabs>
        <w:spacing w:line="560" w:lineRule="exact"/>
        <w:jc w:val="center"/>
        <w:rPr>
          <w:rFonts w:ascii="仿宋_GB2312" w:eastAsia="仿宋_GB2312"/>
          <w:color w:val="000000"/>
          <w:sz w:val="28"/>
          <w:szCs w:val="28"/>
        </w:rPr>
      </w:pPr>
      <w:r>
        <w:rPr>
          <w:rFonts w:hint="eastAsia" w:ascii="仿宋_GB2312" w:eastAsia="仿宋_GB2312"/>
          <w:color w:val="000000"/>
          <w:sz w:val="28"/>
          <w:szCs w:val="28"/>
          <w:lang w:val="en-US" w:eastAsia="zh-CN"/>
        </w:rPr>
        <w:t xml:space="preserve">周应急指导意见书〔2021〕 </w:t>
      </w:r>
      <w:r>
        <w:rPr>
          <w:rFonts w:hint="eastAsia" w:ascii="仿宋_GB2312" w:eastAsia="仿宋_GB2312"/>
          <w:color w:val="000000"/>
          <w:sz w:val="28"/>
          <w:szCs w:val="28"/>
        </w:rPr>
        <w:t>号</w:t>
      </w:r>
    </w:p>
    <w:p>
      <w:pPr>
        <w:pStyle w:val="15"/>
        <w:tabs>
          <w:tab w:val="left" w:pos="2021"/>
        </w:tabs>
        <w:spacing w:line="560" w:lineRule="exact"/>
        <w:rPr>
          <w:rFonts w:ascii="仿宋_GB2312" w:hAnsi="黑体" w:eastAsia="仿宋_GB2312" w:cs="黑体"/>
          <w:color w:val="000000"/>
          <w:sz w:val="28"/>
          <w:szCs w:val="28"/>
          <w:lang w:val="en-US" w:eastAsia="zh-CN"/>
        </w:rPr>
      </w:pPr>
      <w:r>
        <w:rPr>
          <w:rFonts w:hint="eastAsia" w:ascii="仿宋_GB2312" w:hAnsi="黑体" w:eastAsia="仿宋_GB2312" w:cs="黑体"/>
          <w:color w:val="000000"/>
          <w:sz w:val="24"/>
          <w:szCs w:val="24"/>
          <w:lang w:eastAsia="zh-CN"/>
        </w:rPr>
        <w:t>——————</w:t>
      </w:r>
      <w:r>
        <w:rPr>
          <w:rFonts w:hint="eastAsia" w:ascii="仿宋_GB2312" w:hAnsi="黑体" w:eastAsia="仿宋_GB2312" w:cs="黑体"/>
          <w:color w:val="000000"/>
          <w:sz w:val="28"/>
          <w:szCs w:val="28"/>
          <w:lang w:val="en-US" w:eastAsia="zh-CN"/>
        </w:rPr>
        <w:t>：</w:t>
      </w:r>
    </w:p>
    <w:p>
      <w:pPr>
        <w:pStyle w:val="15"/>
        <w:tabs>
          <w:tab w:val="left" w:pos="2021"/>
        </w:tabs>
        <w:spacing w:line="560" w:lineRule="exact"/>
        <w:ind w:firstLine="560" w:firstLineChars="200"/>
        <w:rPr>
          <w:rFonts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关于你（单位）存在的 ---- 问题，现提出以下指导意见:</w:t>
      </w:r>
    </w:p>
    <w:p>
      <w:pPr>
        <w:pStyle w:val="15"/>
        <w:spacing w:line="560" w:lineRule="exact"/>
        <w:jc w:val="left"/>
        <w:rPr>
          <w:rFonts w:ascii="仿宋_GB2312" w:hAnsi="黑体" w:eastAsia="仿宋_GB2312" w:cs="黑体"/>
          <w:color w:val="000000"/>
          <w:sz w:val="28"/>
          <w:szCs w:val="28"/>
          <w:lang w:eastAsia="zh-CN"/>
        </w:rPr>
      </w:pPr>
      <w:r>
        <w:rPr>
          <w:rFonts w:hint="eastAsia" w:ascii="仿宋_GB2312" w:hAnsi="黑体" w:eastAsia="仿宋_GB2312" w:cs="黑体"/>
          <w:color w:val="000000"/>
          <w:sz w:val="28"/>
          <w:szCs w:val="28"/>
          <w:lang w:eastAsia="zh-CN"/>
        </w:rPr>
        <w:t>存在问题：</w:t>
      </w:r>
    </w:p>
    <w:p>
      <w:pPr>
        <w:pStyle w:val="15"/>
        <w:spacing w:line="560" w:lineRule="exact"/>
        <w:ind w:firstLine="720" w:firstLineChars="300"/>
        <w:jc w:val="left"/>
        <w:rPr>
          <w:rFonts w:ascii="仿宋_GB2312" w:hAnsi="黑体" w:eastAsia="仿宋_GB2312" w:cs="黑体"/>
          <w:color w:val="000000"/>
          <w:sz w:val="24"/>
          <w:szCs w:val="24"/>
          <w:lang w:eastAsia="zh-CN"/>
        </w:rPr>
      </w:pPr>
      <w:r>
        <w:rPr>
          <w:rFonts w:hint="eastAsia" w:ascii="仿宋_GB2312" w:hAnsi="黑体" w:eastAsia="仿宋_GB2312" w:cs="黑体"/>
          <w:color w:val="000000"/>
          <w:sz w:val="24"/>
          <w:szCs w:val="24"/>
          <w:lang w:eastAsia="zh-CN"/>
        </w:rPr>
        <w:t>—————————————————————————————————————————————————————————————————————————————————————————————————————————————————。</w:t>
      </w:r>
    </w:p>
    <w:p>
      <w:pPr>
        <w:pStyle w:val="15"/>
        <w:spacing w:line="560" w:lineRule="exact"/>
        <w:jc w:val="left"/>
        <w:rPr>
          <w:rFonts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指导意见：</w:t>
      </w:r>
    </w:p>
    <w:p>
      <w:pPr>
        <w:pStyle w:val="15"/>
        <w:spacing w:line="560" w:lineRule="exact"/>
        <w:ind w:firstLine="720" w:firstLineChars="300"/>
        <w:jc w:val="left"/>
        <w:rPr>
          <w:rFonts w:ascii="仿宋_GB2312" w:hAnsi="黑体" w:eastAsia="仿宋_GB2312" w:cs="黑体"/>
          <w:color w:val="000000"/>
          <w:sz w:val="24"/>
          <w:szCs w:val="24"/>
          <w:lang w:eastAsia="zh-CN"/>
        </w:rPr>
      </w:pPr>
      <w:r>
        <w:rPr>
          <w:rFonts w:hint="eastAsia" w:ascii="仿宋_GB2312" w:hAnsi="黑体" w:eastAsia="仿宋_GB2312" w:cs="黑体"/>
          <w:color w:val="000000"/>
          <w:sz w:val="24"/>
          <w:szCs w:val="24"/>
          <w:lang w:eastAsia="zh-CN"/>
        </w:rPr>
        <w:t>——————————————————————————————————————————————————————————————————————————————————————————————————————————————————。</w:t>
      </w:r>
    </w:p>
    <w:p>
      <w:pPr>
        <w:pStyle w:val="15"/>
        <w:spacing w:line="560" w:lineRule="exact"/>
        <w:ind w:firstLine="560" w:firstLineChars="200"/>
        <w:jc w:val="left"/>
        <w:rPr>
          <w:rFonts w:ascii="仿宋_GB2312" w:eastAsia="仿宋_GB2312"/>
          <w:color w:val="000000"/>
          <w:sz w:val="28"/>
          <w:szCs w:val="28"/>
          <w:lang w:val="en-US" w:eastAsia="zh-CN"/>
        </w:rPr>
      </w:pPr>
      <w:r>
        <w:rPr>
          <w:rFonts w:hint="eastAsia" w:ascii="仿宋_GB2312" w:eastAsia="仿宋_GB2312"/>
          <w:color w:val="000000"/>
          <w:sz w:val="28"/>
          <w:szCs w:val="28"/>
          <w:lang w:val="en-US" w:eastAsia="zh-CN"/>
        </w:rPr>
        <w:t>你（单位）在落实以上指导意见时遇到问题，请及时与行政指导人员联系，指导联系人：</w:t>
      </w:r>
      <w:r>
        <w:rPr>
          <w:rFonts w:hint="eastAsia" w:ascii="仿宋_GB2312" w:eastAsia="仿宋_GB2312"/>
          <w:color w:val="000000"/>
          <w:sz w:val="28"/>
          <w:szCs w:val="28"/>
          <w:lang w:val="en-US" w:eastAsia="zh-CN"/>
        </w:rPr>
        <w:tab/>
      </w:r>
      <w:r>
        <w:rPr>
          <w:rFonts w:hint="eastAsia" w:ascii="仿宋_GB2312" w:eastAsia="仿宋_GB2312"/>
          <w:color w:val="000000"/>
          <w:sz w:val="28"/>
          <w:szCs w:val="28"/>
          <w:lang w:val="en-US" w:eastAsia="zh-CN"/>
        </w:rPr>
        <w:t xml:space="preserve">   联系电话：</w:t>
      </w:r>
    </w:p>
    <w:p>
      <w:pPr>
        <w:pStyle w:val="15"/>
        <w:spacing w:line="560" w:lineRule="exact"/>
        <w:ind w:firstLine="560" w:firstLineChars="200"/>
        <w:jc w:val="left"/>
        <w:rPr>
          <w:rFonts w:ascii="仿宋_GB2312" w:eastAsia="仿宋_GB2312"/>
          <w:color w:val="000000"/>
          <w:sz w:val="28"/>
          <w:szCs w:val="28"/>
          <w:lang w:val="en-US" w:eastAsia="zh-CN"/>
        </w:rPr>
      </w:pPr>
    </w:p>
    <w:p>
      <w:pPr>
        <w:pStyle w:val="15"/>
        <w:spacing w:line="560" w:lineRule="exact"/>
        <w:ind w:firstLine="5880" w:firstLineChars="2100"/>
        <w:jc w:val="left"/>
        <w:rPr>
          <w:rFonts w:ascii="仿宋_GB2312" w:eastAsia="仿宋_GB2312"/>
          <w:color w:val="000000"/>
          <w:sz w:val="28"/>
          <w:szCs w:val="28"/>
          <w:lang w:val="en-US" w:eastAsia="zh-CN"/>
        </w:rPr>
      </w:pPr>
      <w:r>
        <w:rPr>
          <w:rFonts w:hint="eastAsia" w:ascii="仿宋_GB2312" w:eastAsia="仿宋_GB2312"/>
          <w:color w:val="000000"/>
          <w:sz w:val="28"/>
          <w:szCs w:val="28"/>
          <w:lang w:val="en-US" w:eastAsia="zh-CN"/>
        </w:rPr>
        <w:t>（单位印章）</w:t>
      </w:r>
    </w:p>
    <w:p>
      <w:pPr>
        <w:pStyle w:val="15"/>
        <w:spacing w:line="560" w:lineRule="exact"/>
        <w:jc w:val="left"/>
        <w:rPr>
          <w:rFonts w:ascii="仿宋_GB2312" w:eastAsia="仿宋_GB2312"/>
          <w:color w:val="000000"/>
          <w:sz w:val="28"/>
          <w:szCs w:val="28"/>
          <w:lang w:val="en-US" w:eastAsia="zh-CN"/>
        </w:rPr>
      </w:pPr>
      <w:r>
        <w:rPr>
          <w:rFonts w:hint="eastAsia" w:ascii="仿宋_GB2312" w:eastAsia="仿宋_GB2312"/>
          <w:color w:val="000000"/>
          <w:sz w:val="28"/>
          <w:szCs w:val="28"/>
          <w:lang w:val="en-US" w:eastAsia="zh-CN"/>
        </w:rPr>
        <w:t xml:space="preserve">                                           年   月   日</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附件3</w:t>
      </w:r>
    </w:p>
    <w:p>
      <w:pPr>
        <w:pStyle w:val="16"/>
        <w:spacing w:after="0" w:line="560" w:lineRule="exact"/>
        <w:rPr>
          <w:rFonts w:ascii="方正小标宋简体" w:hAnsi="方正小标宋简体" w:eastAsia="方正小标宋简体" w:cs="方正小标宋简体"/>
          <w:lang w:eastAsia="zh-CN"/>
        </w:rPr>
      </w:pPr>
      <w:bookmarkStart w:id="0" w:name="bookmark50"/>
      <w:bookmarkStart w:id="1" w:name="bookmark49"/>
      <w:bookmarkStart w:id="2" w:name="bookmark51"/>
      <w:r>
        <w:rPr>
          <w:rFonts w:hint="eastAsia" w:ascii="方正小标宋简体" w:hAnsi="方正小标宋简体" w:eastAsia="方正小标宋简体" w:cs="方正小标宋简体"/>
          <w:color w:val="000000"/>
        </w:rPr>
        <w:t>行政指导</w:t>
      </w:r>
      <w:r>
        <w:rPr>
          <w:rFonts w:hint="eastAsia" w:ascii="方正小标宋简体" w:hAnsi="方正小标宋简体" w:eastAsia="方正小标宋简体" w:cs="方正小标宋简体"/>
          <w:color w:val="000000"/>
          <w:lang w:eastAsia="zh-CN"/>
        </w:rPr>
        <w:t>事项</w:t>
      </w:r>
      <w:r>
        <w:rPr>
          <w:rFonts w:hint="eastAsia" w:ascii="方正小标宋简体" w:hAnsi="方正小标宋简体" w:eastAsia="方正小标宋简体" w:cs="方正小标宋简体"/>
          <w:color w:val="000000"/>
        </w:rPr>
        <w:t>登记</w:t>
      </w:r>
      <w:bookmarkEnd w:id="0"/>
      <w:bookmarkEnd w:id="1"/>
      <w:bookmarkEnd w:id="2"/>
      <w:r>
        <w:rPr>
          <w:rFonts w:hint="eastAsia" w:ascii="方正小标宋简体" w:hAnsi="方正小标宋简体" w:eastAsia="方正小标宋简体" w:cs="方正小标宋简体"/>
          <w:color w:val="000000"/>
          <w:lang w:val="en-US" w:eastAsia="zh-CN"/>
        </w:rPr>
        <w:t>备案表</w:t>
      </w:r>
    </w:p>
    <w:tbl>
      <w:tblPr>
        <w:tblStyle w:val="7"/>
        <w:tblW w:w="9157" w:type="dxa"/>
        <w:jc w:val="center"/>
        <w:tblLayout w:type="fixed"/>
        <w:tblCellMar>
          <w:top w:w="0" w:type="dxa"/>
          <w:left w:w="10" w:type="dxa"/>
          <w:bottom w:w="0" w:type="dxa"/>
          <w:right w:w="10" w:type="dxa"/>
        </w:tblCellMar>
      </w:tblPr>
      <w:tblGrid>
        <w:gridCol w:w="773"/>
        <w:gridCol w:w="1930"/>
        <w:gridCol w:w="3161"/>
        <w:gridCol w:w="1930"/>
        <w:gridCol w:w="1363"/>
      </w:tblGrid>
      <w:tr>
        <w:tblPrEx>
          <w:tblCellMar>
            <w:top w:w="0" w:type="dxa"/>
            <w:left w:w="10" w:type="dxa"/>
            <w:bottom w:w="0" w:type="dxa"/>
            <w:right w:w="10" w:type="dxa"/>
          </w:tblCellMar>
        </w:tblPrEx>
        <w:trPr>
          <w:trHeight w:val="1103" w:hRule="atLeast"/>
          <w:jc w:val="center"/>
        </w:trPr>
        <w:tc>
          <w:tcPr>
            <w:tcW w:w="773" w:type="dxa"/>
            <w:tcBorders>
              <w:top w:val="single" w:color="auto" w:sz="4" w:space="0"/>
              <w:left w:val="single" w:color="auto" w:sz="4" w:space="0"/>
            </w:tcBorders>
            <w:shd w:val="clear" w:color="auto" w:fill="FFFFFF"/>
            <w:noWrap/>
            <w:vAlign w:val="center"/>
          </w:tcPr>
          <w:p>
            <w:pPr>
              <w:pStyle w:val="17"/>
              <w:spacing w:line="560" w:lineRule="exact"/>
              <w:ind w:firstLine="0"/>
              <w:jc w:val="center"/>
              <w:rPr>
                <w:rFonts w:ascii="黑体" w:hAnsi="黑体" w:eastAsia="黑体" w:cs="黑体"/>
                <w:lang w:val="en-US" w:eastAsia="zh-CN"/>
              </w:rPr>
            </w:pPr>
            <w:r>
              <w:rPr>
                <w:rFonts w:hint="eastAsia" w:ascii="黑体" w:hAnsi="黑体" w:eastAsia="黑体" w:cs="黑体"/>
                <w:color w:val="000000"/>
                <w:lang w:val="en-US" w:eastAsia="zh-CN"/>
              </w:rPr>
              <w:t>序号</w:t>
            </w:r>
          </w:p>
        </w:tc>
        <w:tc>
          <w:tcPr>
            <w:tcW w:w="1930" w:type="dxa"/>
            <w:tcBorders>
              <w:top w:val="single" w:color="auto" w:sz="4" w:space="0"/>
              <w:left w:val="single" w:color="auto" w:sz="4" w:space="0"/>
            </w:tcBorders>
            <w:shd w:val="clear" w:color="auto" w:fill="FFFFFF"/>
            <w:noWrap/>
            <w:vAlign w:val="center"/>
          </w:tcPr>
          <w:p>
            <w:pPr>
              <w:pStyle w:val="17"/>
              <w:tabs>
                <w:tab w:val="left" w:pos="994"/>
              </w:tabs>
              <w:spacing w:line="560" w:lineRule="exact"/>
              <w:ind w:firstLine="0"/>
              <w:jc w:val="center"/>
              <w:rPr>
                <w:rFonts w:ascii="黑体" w:hAnsi="黑体" w:eastAsia="黑体" w:cs="黑体"/>
              </w:rPr>
            </w:pPr>
            <w:r>
              <w:rPr>
                <w:rFonts w:hint="eastAsia" w:ascii="黑体" w:hAnsi="黑体" w:eastAsia="黑体" w:cs="黑体"/>
                <w:color w:val="000000"/>
              </w:rPr>
              <w:t>时间</w:t>
            </w:r>
          </w:p>
        </w:tc>
        <w:tc>
          <w:tcPr>
            <w:tcW w:w="3161" w:type="dxa"/>
            <w:tcBorders>
              <w:top w:val="single" w:color="auto" w:sz="4" w:space="0"/>
              <w:left w:val="single" w:color="auto" w:sz="4" w:space="0"/>
            </w:tcBorders>
            <w:shd w:val="clear" w:color="auto" w:fill="FFFFFF"/>
            <w:noWrap/>
            <w:vAlign w:val="center"/>
          </w:tcPr>
          <w:p>
            <w:pPr>
              <w:pStyle w:val="17"/>
              <w:spacing w:line="560" w:lineRule="exact"/>
              <w:ind w:firstLine="0"/>
              <w:jc w:val="center"/>
              <w:rPr>
                <w:rFonts w:ascii="黑体" w:hAnsi="黑体" w:eastAsia="黑体" w:cs="黑体"/>
                <w:lang w:eastAsia="zh-CN"/>
              </w:rPr>
            </w:pPr>
            <w:r>
              <w:rPr>
                <w:rFonts w:hint="eastAsia" w:ascii="黑体" w:hAnsi="黑体" w:eastAsia="黑体" w:cs="黑体"/>
                <w:color w:val="000000"/>
              </w:rPr>
              <w:t>指导</w:t>
            </w:r>
            <w:r>
              <w:rPr>
                <w:rFonts w:hint="eastAsia" w:ascii="黑体" w:hAnsi="黑体" w:eastAsia="黑体" w:cs="黑体"/>
                <w:color w:val="000000"/>
                <w:lang w:eastAsia="zh-CN"/>
              </w:rPr>
              <w:t>事项</w:t>
            </w:r>
          </w:p>
        </w:tc>
        <w:tc>
          <w:tcPr>
            <w:tcW w:w="1930" w:type="dxa"/>
            <w:tcBorders>
              <w:top w:val="single" w:color="auto" w:sz="4" w:space="0"/>
              <w:left w:val="single" w:color="auto" w:sz="4" w:space="0"/>
            </w:tcBorders>
            <w:shd w:val="clear" w:color="auto" w:fill="FFFFFF"/>
            <w:noWrap/>
            <w:vAlign w:val="center"/>
          </w:tcPr>
          <w:p>
            <w:pPr>
              <w:pStyle w:val="17"/>
              <w:spacing w:line="560" w:lineRule="exact"/>
              <w:ind w:firstLine="0"/>
              <w:jc w:val="center"/>
              <w:rPr>
                <w:rFonts w:ascii="黑体" w:hAnsi="黑体" w:eastAsia="黑体" w:cs="黑体"/>
              </w:rPr>
            </w:pPr>
            <w:r>
              <w:rPr>
                <w:rFonts w:hint="eastAsia" w:ascii="黑体" w:hAnsi="黑体" w:eastAsia="黑体" w:cs="黑体"/>
                <w:color w:val="000000"/>
              </w:rPr>
              <w:t>指导结果</w:t>
            </w:r>
          </w:p>
        </w:tc>
        <w:tc>
          <w:tcPr>
            <w:tcW w:w="1363" w:type="dxa"/>
            <w:tcBorders>
              <w:top w:val="single" w:color="auto" w:sz="4" w:space="0"/>
              <w:left w:val="single" w:color="auto" w:sz="4" w:space="0"/>
              <w:right w:val="single" w:color="auto" w:sz="4" w:space="0"/>
            </w:tcBorders>
            <w:shd w:val="clear" w:color="auto" w:fill="FFFFFF"/>
            <w:noWrap/>
            <w:vAlign w:val="center"/>
          </w:tcPr>
          <w:p>
            <w:pPr>
              <w:pStyle w:val="17"/>
              <w:spacing w:line="560" w:lineRule="exact"/>
              <w:ind w:firstLine="0"/>
              <w:jc w:val="center"/>
              <w:rPr>
                <w:rFonts w:ascii="黑体" w:hAnsi="黑体" w:eastAsia="黑体" w:cs="黑体"/>
              </w:rPr>
            </w:pPr>
            <w:r>
              <w:rPr>
                <w:rFonts w:hint="eastAsia" w:ascii="黑体" w:hAnsi="黑体" w:eastAsia="黑体" w:cs="黑体"/>
                <w:color w:val="000000"/>
              </w:rPr>
              <w:t>指导人员</w:t>
            </w: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pStyle w:val="17"/>
              <w:spacing w:line="560" w:lineRule="exact"/>
              <w:ind w:firstLine="0"/>
              <w:jc w:val="center"/>
              <w:rPr>
                <w:rFonts w:ascii="楷体_GB2312" w:eastAsia="楷体_GB2312"/>
              </w:rPr>
            </w:pPr>
          </w:p>
        </w:tc>
        <w:tc>
          <w:tcPr>
            <w:tcW w:w="1930" w:type="dxa"/>
            <w:tcBorders>
              <w:top w:val="single" w:color="auto" w:sz="4" w:space="0"/>
              <w:left w:val="single" w:color="auto" w:sz="4" w:space="0"/>
            </w:tcBorders>
            <w:shd w:val="clear" w:color="auto" w:fill="FFFFFF"/>
            <w:noWrap/>
            <w:vAlign w:val="center"/>
          </w:tcPr>
          <w:p>
            <w:pPr>
              <w:pStyle w:val="17"/>
              <w:spacing w:line="560" w:lineRule="exact"/>
              <w:ind w:firstLine="0"/>
              <w:jc w:val="center"/>
              <w:rPr>
                <w:rFonts w:ascii="仿宋_GB2312" w:eastAsia="仿宋_GB2312"/>
              </w:rPr>
            </w:pPr>
          </w:p>
        </w:tc>
        <w:tc>
          <w:tcPr>
            <w:tcW w:w="3161" w:type="dxa"/>
            <w:tcBorders>
              <w:top w:val="single" w:color="auto" w:sz="4" w:space="0"/>
              <w:left w:val="single" w:color="auto" w:sz="4" w:space="0"/>
            </w:tcBorders>
            <w:shd w:val="clear" w:color="auto" w:fill="FFFFFF"/>
            <w:noWrap/>
            <w:vAlign w:val="center"/>
          </w:tcPr>
          <w:p>
            <w:pPr>
              <w:pStyle w:val="17"/>
              <w:spacing w:line="560" w:lineRule="exact"/>
              <w:ind w:firstLine="0"/>
              <w:jc w:val="center"/>
              <w:rPr>
                <w:rFonts w:ascii="仿宋_GB2312" w:eastAsia="仿宋_GB2312"/>
              </w:rPr>
            </w:pPr>
          </w:p>
        </w:tc>
        <w:tc>
          <w:tcPr>
            <w:tcW w:w="1930" w:type="dxa"/>
            <w:tcBorders>
              <w:top w:val="single" w:color="auto" w:sz="4" w:space="0"/>
              <w:left w:val="single" w:color="auto" w:sz="4" w:space="0"/>
            </w:tcBorders>
            <w:shd w:val="clear" w:color="auto" w:fill="FFFFFF"/>
            <w:noWrap/>
            <w:vAlign w:val="center"/>
          </w:tcPr>
          <w:p>
            <w:pPr>
              <w:pStyle w:val="17"/>
              <w:spacing w:line="560" w:lineRule="exact"/>
              <w:ind w:firstLine="0"/>
              <w:jc w:val="center"/>
              <w:rPr>
                <w:rFonts w:ascii="仿宋_GB2312" w:eastAsia="仿宋_GB2312"/>
              </w:rPr>
            </w:pPr>
          </w:p>
        </w:tc>
        <w:tc>
          <w:tcPr>
            <w:tcW w:w="1363" w:type="dxa"/>
            <w:tcBorders>
              <w:top w:val="single" w:color="auto" w:sz="4" w:space="0"/>
              <w:left w:val="single" w:color="auto" w:sz="4" w:space="0"/>
              <w:right w:val="single" w:color="auto" w:sz="4" w:space="0"/>
            </w:tcBorders>
            <w:shd w:val="clear" w:color="auto" w:fill="FFFFFF"/>
            <w:noWrap/>
            <w:vAlign w:val="center"/>
          </w:tcPr>
          <w:p>
            <w:pPr>
              <w:pStyle w:val="17"/>
              <w:spacing w:line="560" w:lineRule="exact"/>
              <w:ind w:firstLine="0"/>
              <w:jc w:val="center"/>
              <w:rPr>
                <w:rFonts w:ascii="仿宋_GB2312" w:eastAsia="仿宋_GB2312"/>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bottom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bottom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bottom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bottom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25" w:hRule="exact"/>
          <w:jc w:val="center"/>
        </w:trPr>
        <w:tc>
          <w:tcPr>
            <w:tcW w:w="7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r>
      <w:tr>
        <w:tblPrEx>
          <w:tblCellMar>
            <w:top w:w="0" w:type="dxa"/>
            <w:left w:w="10" w:type="dxa"/>
            <w:bottom w:w="0" w:type="dxa"/>
            <w:right w:w="10" w:type="dxa"/>
          </w:tblCellMar>
        </w:tblPrEx>
        <w:trPr>
          <w:trHeight w:val="645" w:hRule="exact"/>
          <w:jc w:val="center"/>
        </w:trPr>
        <w:tc>
          <w:tcPr>
            <w:tcW w:w="7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3161"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1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c>
          <w:tcPr>
            <w:tcW w:w="13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560" w:lineRule="exact"/>
              <w:jc w:val="center"/>
              <w:rPr>
                <w:sz w:val="10"/>
                <w:szCs w:val="10"/>
              </w:rPr>
            </w:pPr>
          </w:p>
        </w:tc>
      </w:tr>
    </w:tbl>
    <w:p>
      <w:pPr>
        <w:jc w:val="left"/>
        <w:rPr>
          <w:rFonts w:ascii="黑体" w:hAnsi="黑体" w:eastAsia="黑体" w:cs="方正小标宋简体"/>
          <w:sz w:val="32"/>
          <w:szCs w:val="32"/>
        </w:rPr>
        <w:sectPr>
          <w:footerReference r:id="rId3" w:type="default"/>
          <w:pgSz w:w="11905" w:h="16838"/>
          <w:pgMar w:top="2098" w:right="1474" w:bottom="1984" w:left="1587" w:header="720" w:footer="720" w:gutter="0"/>
          <w:cols w:space="0" w:num="1"/>
          <w:docGrid w:type="lines" w:linePitch="312" w:charSpace="0"/>
        </w:sectPr>
      </w:pPr>
    </w:p>
    <w:p>
      <w:pPr>
        <w:spacing w:line="560" w:lineRule="exact"/>
        <w:rPr>
          <w:rFonts w:ascii="Times New Roman" w:hAnsi="Times New Roman" w:cs="Times New Roman"/>
        </w:rPr>
      </w:pPr>
    </w:p>
    <w:sectPr>
      <w:footerReference r:id="rId4" w:type="default"/>
      <w:pgSz w:w="11906" w:h="16838"/>
      <w:pgMar w:top="2041" w:right="1531" w:bottom="1701" w:left="1531" w:header="851" w:footer="1474"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28"/>
                              <w:szCs w:val="28"/>
                            </w:rPr>
                          </w:pPr>
                          <w:r>
                            <w:rPr>
                              <w:rFonts w:ascii="Times New Roman" w:hAnsi="Times New Roman" w:cs="Times New Roman"/>
                              <w:sz w:val="28"/>
                              <w:szCs w:val="28"/>
                            </w:rPr>
                            <w:t>—</w:t>
                          </w:r>
                          <w:r>
                            <w:rPr>
                              <w:sz w:val="28"/>
                              <w:szCs w:val="28"/>
                            </w:rPr>
                            <w:fldChar w:fldCharType="begin"/>
                          </w:r>
                          <w:r>
                            <w:rPr>
                              <w:rFonts w:ascii="Times New Roman" w:hAnsi="Times New Roman" w:cs="Times New Roman"/>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ascii="Times New Roman" w:hAnsi="Times New Roman" w:cs="Times New Roman"/>
                              <w:sz w:val="28"/>
                              <w:szCs w:val="28"/>
                            </w:rPr>
                            <w:t>—</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phqZ&#10;ae0BAADVAwAADgAAAAAAAAABACAAAAAfAQAAZHJzL2Uyb0RvYy54bWxQSwUGAAAAAAYABgBZAQAA&#10;fgUAAAAA&#10;">
              <v:fill on="f" focussize="0,0"/>
              <v:stroke on="f" weight="0.5pt"/>
              <v:imagedata o:title=""/>
              <o:lock v:ext="edit" aspectratio="f"/>
              <v:textbox inset="0mm,0mm,0mm,0mm" style="mso-fit-shape-to-text:t;">
                <w:txbxContent>
                  <w:p>
                    <w:pPr>
                      <w:pStyle w:val="3"/>
                      <w:rPr>
                        <w:sz w:val="28"/>
                        <w:szCs w:val="28"/>
                      </w:rPr>
                    </w:pPr>
                    <w:r>
                      <w:rPr>
                        <w:rFonts w:ascii="Times New Roman" w:hAnsi="Times New Roman" w:cs="Times New Roman"/>
                        <w:sz w:val="28"/>
                        <w:szCs w:val="28"/>
                      </w:rPr>
                      <w:t>—</w:t>
                    </w:r>
                    <w:r>
                      <w:rPr>
                        <w:sz w:val="28"/>
                        <w:szCs w:val="28"/>
                      </w:rPr>
                      <w:fldChar w:fldCharType="begin"/>
                    </w:r>
                    <w:r>
                      <w:rPr>
                        <w:rFonts w:ascii="Times New Roman" w:hAnsi="Times New Roman" w:cs="Times New Roman"/>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ascii="Times New Roman" w:hAnsi="Times New Roman"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4448175</wp:posOffset>
              </wp:positionH>
              <wp:positionV relativeFrom="paragraph">
                <wp:posOffset>0</wp:posOffset>
              </wp:positionV>
              <wp:extent cx="82613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26135" cy="1828800"/>
                      </a:xfrm>
                      <a:prstGeom prst="rect">
                        <a:avLst/>
                      </a:prstGeom>
                      <a:noFill/>
                      <a:ln w="6350">
                        <a:noFill/>
                      </a:ln>
                      <a:effectLst/>
                    </wps:spPr>
                    <wps:txbx>
                      <w:txbxContent>
                        <w:p>
                          <w:pPr>
                            <w:pStyle w:val="3"/>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0.25pt;margin-top:0pt;height:144pt;width:65.05pt;mso-position-horizontal-relative:margin;z-index:251662336;mso-width-relative:page;mso-height-relative:page;" filled="f" stroked="f" coordsize="21600,21600" o:gfxdata="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69o59UAAAAIAQAADwAAAAAAAAABACAAAAAiAAAAZHJz&#10;L2Rvd25yZXYueG1sUEsBAhQAFAAAAAgAh07iQMYlZcxAAgAAcAQAAA4AAAAAAAAAAQAgAAAAJAEA&#10;AGRycy9lMm9Eb2MueG1sUEsFBgAAAAAGAAYAWQEAANYFAAAAAA==&#10;">
              <v:fill on="f" focussize="0,0"/>
              <v:stroke on="f" weight="0.5pt"/>
              <v:imagedata o:title=""/>
              <o:lock v:ext="edit" aspectratio="f"/>
              <v:textbox inset="0mm,0mm,0mm,0mm" style="mso-fit-shape-to-text:t;">
                <w:txbxContent>
                  <w:p>
                    <w:pPr>
                      <w:pStyle w:val="3"/>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-309245</wp:posOffset>
              </wp:positionH>
              <wp:positionV relativeFrom="paragraph">
                <wp:posOffset>0</wp:posOffset>
              </wp:positionV>
              <wp:extent cx="92519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25195" cy="1828800"/>
                      </a:xfrm>
                      <a:prstGeom prst="rect">
                        <a:avLst/>
                      </a:prstGeom>
                      <a:noFill/>
                      <a:ln w="6350">
                        <a:noFill/>
                      </a:ln>
                      <a:effectLst/>
                    </wps:spPr>
                    <wps:txbx>
                      <w:txbxContent>
                        <w:p>
                          <w:pPr>
                            <w:pStyle w:val="3"/>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35pt;margin-top:0pt;height:144pt;width:72.85pt;mso-position-horizontal-relative:margin;z-index:251661312;mso-width-relative:page;mso-height-relative:page;" filled="f" stroked="f" coordsize="21600,21600" o:gfxdata="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&#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v8WQj1gAAAAcBAAAPAAAAAAAAAAEAIAAAACIAAABk&#10;cnMvZG93bnJldi54bWxQSwECFAAUAAAACACHTuJAje6jbkECAABwBAAADgAAAAAAAAABACAAAAAl&#10;AQAAZHJzL2Uyb0RvYy54bWxQSwUGAAAAAAYABgBZAQAA2A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E4837"/>
    <w:rsid w:val="000047A2"/>
    <w:rsid w:val="00092C03"/>
    <w:rsid w:val="00092F14"/>
    <w:rsid w:val="00093890"/>
    <w:rsid w:val="000A38F5"/>
    <w:rsid w:val="00107378"/>
    <w:rsid w:val="00111D04"/>
    <w:rsid w:val="0012690F"/>
    <w:rsid w:val="001347B1"/>
    <w:rsid w:val="00171767"/>
    <w:rsid w:val="002F517F"/>
    <w:rsid w:val="00310B9B"/>
    <w:rsid w:val="003D6B5A"/>
    <w:rsid w:val="003F1934"/>
    <w:rsid w:val="00403F29"/>
    <w:rsid w:val="00405694"/>
    <w:rsid w:val="0048321D"/>
    <w:rsid w:val="004932B2"/>
    <w:rsid w:val="00514DFE"/>
    <w:rsid w:val="005176B5"/>
    <w:rsid w:val="00560241"/>
    <w:rsid w:val="0056742D"/>
    <w:rsid w:val="005C51AD"/>
    <w:rsid w:val="006820C1"/>
    <w:rsid w:val="006B783E"/>
    <w:rsid w:val="006C29C2"/>
    <w:rsid w:val="006D1280"/>
    <w:rsid w:val="00723862"/>
    <w:rsid w:val="0076086C"/>
    <w:rsid w:val="007C30D0"/>
    <w:rsid w:val="00813F37"/>
    <w:rsid w:val="00850A2D"/>
    <w:rsid w:val="008C1C26"/>
    <w:rsid w:val="008E5BD6"/>
    <w:rsid w:val="008F2B93"/>
    <w:rsid w:val="009349D3"/>
    <w:rsid w:val="00975189"/>
    <w:rsid w:val="009A216A"/>
    <w:rsid w:val="00A014C9"/>
    <w:rsid w:val="00A45041"/>
    <w:rsid w:val="00A53BCB"/>
    <w:rsid w:val="00C8668E"/>
    <w:rsid w:val="00CC4D3E"/>
    <w:rsid w:val="00CF66BA"/>
    <w:rsid w:val="00DA63D0"/>
    <w:rsid w:val="00DF7D0E"/>
    <w:rsid w:val="00E40A5C"/>
    <w:rsid w:val="00ED1383"/>
    <w:rsid w:val="00ED4052"/>
    <w:rsid w:val="00F70A27"/>
    <w:rsid w:val="00FD077E"/>
    <w:rsid w:val="011961E9"/>
    <w:rsid w:val="01402646"/>
    <w:rsid w:val="0207304A"/>
    <w:rsid w:val="02A81DC3"/>
    <w:rsid w:val="05526484"/>
    <w:rsid w:val="05FD19B5"/>
    <w:rsid w:val="06822E25"/>
    <w:rsid w:val="071D4070"/>
    <w:rsid w:val="07A73739"/>
    <w:rsid w:val="08DE37E2"/>
    <w:rsid w:val="095B0A64"/>
    <w:rsid w:val="0A916D6F"/>
    <w:rsid w:val="0A935122"/>
    <w:rsid w:val="0B125995"/>
    <w:rsid w:val="0B2E4A57"/>
    <w:rsid w:val="0BB10205"/>
    <w:rsid w:val="0BB8252D"/>
    <w:rsid w:val="0D0962BB"/>
    <w:rsid w:val="0E1C0445"/>
    <w:rsid w:val="108C4901"/>
    <w:rsid w:val="12E3469B"/>
    <w:rsid w:val="12EF20A7"/>
    <w:rsid w:val="134B425A"/>
    <w:rsid w:val="15A956DF"/>
    <w:rsid w:val="184D20AC"/>
    <w:rsid w:val="191E74F3"/>
    <w:rsid w:val="197938B8"/>
    <w:rsid w:val="197D5B8A"/>
    <w:rsid w:val="19DF700E"/>
    <w:rsid w:val="1A6D45D9"/>
    <w:rsid w:val="1AF20BD3"/>
    <w:rsid w:val="1B9D64EC"/>
    <w:rsid w:val="1BE266F2"/>
    <w:rsid w:val="1DA553CD"/>
    <w:rsid w:val="201828F4"/>
    <w:rsid w:val="207604A4"/>
    <w:rsid w:val="208155C4"/>
    <w:rsid w:val="20B7680C"/>
    <w:rsid w:val="20E724FC"/>
    <w:rsid w:val="210E49D2"/>
    <w:rsid w:val="2118045B"/>
    <w:rsid w:val="22816D7E"/>
    <w:rsid w:val="238A4512"/>
    <w:rsid w:val="242E582D"/>
    <w:rsid w:val="244B402C"/>
    <w:rsid w:val="24A840C8"/>
    <w:rsid w:val="255834F6"/>
    <w:rsid w:val="25D47BBB"/>
    <w:rsid w:val="26B42AB4"/>
    <w:rsid w:val="281148D6"/>
    <w:rsid w:val="28E67EBB"/>
    <w:rsid w:val="29F03D7D"/>
    <w:rsid w:val="2A273534"/>
    <w:rsid w:val="2A912E22"/>
    <w:rsid w:val="2BD14037"/>
    <w:rsid w:val="2C491458"/>
    <w:rsid w:val="2C935F6F"/>
    <w:rsid w:val="2E402300"/>
    <w:rsid w:val="30500B0E"/>
    <w:rsid w:val="30D85ED8"/>
    <w:rsid w:val="312C0C61"/>
    <w:rsid w:val="31915C4A"/>
    <w:rsid w:val="31A1665A"/>
    <w:rsid w:val="35F26E16"/>
    <w:rsid w:val="360658B5"/>
    <w:rsid w:val="366A0FE5"/>
    <w:rsid w:val="36C3045D"/>
    <w:rsid w:val="36D17486"/>
    <w:rsid w:val="39297384"/>
    <w:rsid w:val="39372F9D"/>
    <w:rsid w:val="3AC73B19"/>
    <w:rsid w:val="3BE80EB5"/>
    <w:rsid w:val="3C9E3E2C"/>
    <w:rsid w:val="3D23158D"/>
    <w:rsid w:val="3D8608C7"/>
    <w:rsid w:val="3E081459"/>
    <w:rsid w:val="3ED83D9C"/>
    <w:rsid w:val="3F3408F8"/>
    <w:rsid w:val="40E20222"/>
    <w:rsid w:val="41BE0322"/>
    <w:rsid w:val="42F12E03"/>
    <w:rsid w:val="43B6267C"/>
    <w:rsid w:val="44253D94"/>
    <w:rsid w:val="447A26FC"/>
    <w:rsid w:val="452A0B10"/>
    <w:rsid w:val="459070CE"/>
    <w:rsid w:val="471A422B"/>
    <w:rsid w:val="4B9E6B18"/>
    <w:rsid w:val="4BAF69A9"/>
    <w:rsid w:val="4C3D2EB2"/>
    <w:rsid w:val="4C8F34E7"/>
    <w:rsid w:val="4CB35265"/>
    <w:rsid w:val="4D170335"/>
    <w:rsid w:val="4E9B6E59"/>
    <w:rsid w:val="4EF4274B"/>
    <w:rsid w:val="51884346"/>
    <w:rsid w:val="52C076F0"/>
    <w:rsid w:val="55546961"/>
    <w:rsid w:val="567D6F51"/>
    <w:rsid w:val="570514A9"/>
    <w:rsid w:val="59E4319F"/>
    <w:rsid w:val="5CCE3492"/>
    <w:rsid w:val="5D660603"/>
    <w:rsid w:val="5E365919"/>
    <w:rsid w:val="5EBE4837"/>
    <w:rsid w:val="5F861BFD"/>
    <w:rsid w:val="60C90761"/>
    <w:rsid w:val="617E79F7"/>
    <w:rsid w:val="61DA459F"/>
    <w:rsid w:val="62114F30"/>
    <w:rsid w:val="62AE46ED"/>
    <w:rsid w:val="637622F0"/>
    <w:rsid w:val="64325C0C"/>
    <w:rsid w:val="64B868B0"/>
    <w:rsid w:val="66720F53"/>
    <w:rsid w:val="673A1DC9"/>
    <w:rsid w:val="68D70653"/>
    <w:rsid w:val="69B857EA"/>
    <w:rsid w:val="6A33666A"/>
    <w:rsid w:val="6AE40725"/>
    <w:rsid w:val="6B8D1579"/>
    <w:rsid w:val="6D7D016C"/>
    <w:rsid w:val="6D8E6419"/>
    <w:rsid w:val="6EC71F86"/>
    <w:rsid w:val="7002388B"/>
    <w:rsid w:val="70E45044"/>
    <w:rsid w:val="72AB5ECC"/>
    <w:rsid w:val="73345178"/>
    <w:rsid w:val="736825CF"/>
    <w:rsid w:val="73EE6E48"/>
    <w:rsid w:val="74DB0E48"/>
    <w:rsid w:val="74F315E5"/>
    <w:rsid w:val="77E40BFA"/>
    <w:rsid w:val="77F272D0"/>
    <w:rsid w:val="7A6B5C4D"/>
    <w:rsid w:val="7AB56267"/>
    <w:rsid w:val="7B4260F8"/>
    <w:rsid w:val="7C011CBD"/>
    <w:rsid w:val="7DBA7C3E"/>
    <w:rsid w:val="7E2817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2"/>
    <w:link w:val="13"/>
    <w:unhideWhenUsed/>
    <w:qFormat/>
    <w:uiPriority w:val="99"/>
    <w:pPr>
      <w:widowControl/>
      <w:ind w:firstLine="420" w:firstLineChars="200"/>
    </w:pPr>
    <w:rPr>
      <w:rFonts w:ascii="Times New Roman" w:hAnsi="Times New Roman" w:eastAsia="宋体" w:cs="Times New Roman"/>
      <w:szCs w:val="20"/>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fontstyle01"/>
    <w:basedOn w:val="9"/>
    <w:qFormat/>
    <w:uiPriority w:val="0"/>
    <w:rPr>
      <w:rFonts w:hint="eastAsia" w:ascii="黑体" w:eastAsia="黑体"/>
      <w:color w:val="000000"/>
      <w:sz w:val="32"/>
      <w:szCs w:val="32"/>
    </w:rPr>
  </w:style>
  <w:style w:type="character" w:customStyle="1" w:styleId="12">
    <w:name w:val="正文文本缩进 Char"/>
    <w:basedOn w:val="9"/>
    <w:link w:val="2"/>
    <w:qFormat/>
    <w:uiPriority w:val="0"/>
    <w:rPr>
      <w:rFonts w:asciiTheme="minorHAnsi" w:hAnsiTheme="minorHAnsi" w:eastAsiaTheme="minorEastAsia" w:cstheme="minorBidi"/>
      <w:kern w:val="2"/>
      <w:sz w:val="21"/>
      <w:szCs w:val="24"/>
    </w:rPr>
  </w:style>
  <w:style w:type="character" w:customStyle="1" w:styleId="13">
    <w:name w:val="正文首行缩进 2 Char"/>
    <w:basedOn w:val="12"/>
    <w:link w:val="6"/>
    <w:qFormat/>
    <w:uiPriority w:val="99"/>
  </w:style>
  <w:style w:type="paragraph" w:customStyle="1" w:styleId="14">
    <w:name w:val="Body text|3"/>
    <w:basedOn w:val="1"/>
    <w:qFormat/>
    <w:uiPriority w:val="0"/>
    <w:pPr>
      <w:spacing w:after="190"/>
      <w:jc w:val="center"/>
    </w:pPr>
    <w:rPr>
      <w:rFonts w:ascii="宋体" w:hAnsi="宋体" w:eastAsia="宋体" w:cs="宋体"/>
      <w:sz w:val="32"/>
      <w:szCs w:val="32"/>
      <w:lang w:val="zh-TW" w:eastAsia="zh-TW" w:bidi="zh-TW"/>
    </w:rPr>
  </w:style>
  <w:style w:type="paragraph" w:customStyle="1" w:styleId="15">
    <w:name w:val="Body text|2"/>
    <w:basedOn w:val="1"/>
    <w:qFormat/>
    <w:uiPriority w:val="0"/>
    <w:rPr>
      <w:rFonts w:ascii="宋体" w:hAnsi="宋体" w:eastAsia="宋体" w:cs="宋体"/>
      <w:sz w:val="26"/>
      <w:szCs w:val="26"/>
      <w:lang w:val="zh-TW" w:eastAsia="zh-TW" w:bidi="zh-TW"/>
    </w:rPr>
  </w:style>
  <w:style w:type="paragraph" w:customStyle="1" w:styleId="16">
    <w:name w:val="Heading #2|1"/>
    <w:basedOn w:val="1"/>
    <w:qFormat/>
    <w:uiPriority w:val="0"/>
    <w:pPr>
      <w:spacing w:after="460" w:line="686" w:lineRule="exact"/>
      <w:jc w:val="center"/>
      <w:outlineLvl w:val="1"/>
    </w:pPr>
    <w:rPr>
      <w:rFonts w:ascii="宋体" w:hAnsi="宋体" w:eastAsia="宋体" w:cs="宋体"/>
      <w:sz w:val="44"/>
      <w:szCs w:val="44"/>
      <w:lang w:val="zh-TW" w:eastAsia="zh-TW" w:bidi="zh-TW"/>
    </w:rPr>
  </w:style>
  <w:style w:type="paragraph" w:customStyle="1" w:styleId="17">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611</Words>
  <Characters>3483</Characters>
  <Lines>29</Lines>
  <Paragraphs>8</Paragraphs>
  <TotalTime>2</TotalTime>
  <ScaleCrop>false</ScaleCrop>
  <LinksUpToDate>false</LinksUpToDate>
  <CharactersWithSpaces>4086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2021-05-07T02:48:00Z</dcterms:created>
  <dc:creator>心似莲花开</dc:creator>
  <cp:lastModifiedBy>Administrator</cp:lastModifiedBy>
  <cp:lastPrinted>2020-01-14T06:15:00Z</cp:lastPrinted>
  <dcterms:modified xsi:type="dcterms:W3CDTF">2021-09-24T01:14:14Z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701BF881DD77490AABB9844770442AD0</vt:lpwstr>
  </property>
</Properties>
</file>