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7"/>
        <w:keepNext/>
        <w:keepLines/>
        <w:pageBreakBefore w:val="0"/>
        <w:widowControl w:val="0"/>
        <w:shd w:val="clear" w:color="auto" w:fill="auto"/>
        <w:kinsoku/>
        <w:wordWrap/>
        <w:overflowPunct/>
        <w:topLinePunct w:val="0"/>
        <w:autoSpaceDE/>
        <w:autoSpaceDN/>
        <w:bidi w:val="0"/>
        <w:adjustRightInd/>
        <w:snapToGrid/>
        <w:spacing w:beforeAutospacing="0" w:after="0" w:afterAutospacing="0" w:line="600" w:lineRule="exact"/>
        <w:ind w:left="0" w:leftChars="0" w:right="0" w:rightChars="0" w:firstLine="0"/>
        <w:jc w:val="center"/>
        <w:textAlignment w:val="auto"/>
        <w:rPr>
          <w:rFonts w:hint="eastAsia"/>
          <w:color w:val="000000"/>
          <w:spacing w:val="0"/>
          <w:w w:val="100"/>
          <w:position w:val="0"/>
          <w:sz w:val="36"/>
          <w:szCs w:val="36"/>
          <w:lang w:eastAsia="zh-CN"/>
        </w:rPr>
      </w:pPr>
      <w:bookmarkStart w:id="0" w:name="bookmark29"/>
      <w:bookmarkStart w:id="1" w:name="bookmark27"/>
      <w:bookmarkStart w:id="2" w:name="bookmark28"/>
      <w:r>
        <w:rPr>
          <w:rFonts w:hint="eastAsia"/>
          <w:color w:val="000000"/>
          <w:spacing w:val="0"/>
          <w:w w:val="100"/>
          <w:position w:val="0"/>
          <w:sz w:val="36"/>
          <w:szCs w:val="36"/>
          <w:lang w:eastAsia="zh-CN"/>
        </w:rPr>
        <w:t>周村区住房和城乡建设局</w:t>
      </w:r>
    </w:p>
    <w:p>
      <w:pPr>
        <w:pStyle w:val="7"/>
        <w:keepNext/>
        <w:keepLines/>
        <w:pageBreakBefore w:val="0"/>
        <w:widowControl w:val="0"/>
        <w:shd w:val="clear" w:color="auto" w:fill="auto"/>
        <w:kinsoku/>
        <w:wordWrap/>
        <w:overflowPunct/>
        <w:topLinePunct w:val="0"/>
        <w:autoSpaceDE/>
        <w:autoSpaceDN/>
        <w:bidi w:val="0"/>
        <w:adjustRightInd/>
        <w:snapToGrid/>
        <w:spacing w:beforeAutospacing="0" w:after="0" w:afterAutospacing="0" w:line="600" w:lineRule="exact"/>
        <w:ind w:left="0" w:leftChars="0" w:right="0" w:rightChars="0" w:firstLine="0"/>
        <w:jc w:val="center"/>
        <w:textAlignment w:val="auto"/>
        <w:rPr>
          <w:rFonts w:hint="default" w:ascii="Times New Roman" w:hAnsi="Times New Roman" w:cs="Times New Roman"/>
          <w:color w:val="000000"/>
          <w:spacing w:val="0"/>
          <w:sz w:val="32"/>
          <w:szCs w:val="32"/>
        </w:rPr>
      </w:pPr>
      <w:r>
        <w:rPr>
          <w:rFonts w:hint="eastAsia"/>
          <w:color w:val="000000"/>
          <w:spacing w:val="0"/>
          <w:w w:val="100"/>
          <w:position w:val="0"/>
          <w:sz w:val="36"/>
          <w:szCs w:val="36"/>
          <w:lang w:val="en-US" w:eastAsia="zh-CN"/>
        </w:rPr>
        <w:t>2025年</w:t>
      </w:r>
      <w:r>
        <w:rPr>
          <w:color w:val="000000"/>
          <w:spacing w:val="0"/>
          <w:w w:val="100"/>
          <w:position w:val="0"/>
          <w:sz w:val="36"/>
          <w:szCs w:val="36"/>
        </w:rPr>
        <w:t>政府信息公开工作年度报告</w:t>
      </w:r>
      <w:bookmarkEnd w:id="0"/>
      <w:bookmarkEnd w:id="1"/>
      <w:bookmarkEnd w:id="2"/>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rPr>
          <w:rFonts w:hint="default" w:ascii="Times New Roman" w:hAnsi="Times New Roman" w:cs="Times New Roman"/>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ascii="微软雅黑" w:hAnsi="微软雅黑" w:eastAsia="微软雅黑" w:cs="微软雅黑"/>
          <w:i w:val="0"/>
          <w:caps w:val="0"/>
          <w:color w:val="000000"/>
          <w:spacing w:val="0"/>
          <w:sz w:val="24"/>
          <w:szCs w:val="24"/>
        </w:rPr>
      </w:pPr>
      <w:r>
        <w:rPr>
          <w:rFonts w:hint="eastAsia" w:ascii="Times New Roman" w:hAnsi="Times New Roman" w:eastAsia="仿宋_GB2312" w:cs="Times New Roman"/>
          <w:color w:val="000000"/>
          <w:spacing w:val="0"/>
          <w:sz w:val="32"/>
          <w:szCs w:val="32"/>
          <w:lang w:eastAsia="zh-CN"/>
        </w:rPr>
        <w:t>2025</w:t>
      </w:r>
      <w:r>
        <w:rPr>
          <w:rFonts w:ascii="仿宋_GB2312" w:hAnsi="Times New Roman" w:eastAsia="仿宋_GB2312" w:cs="仿宋_GB2312"/>
          <w:color w:val="000000"/>
          <w:spacing w:val="0"/>
          <w:sz w:val="32"/>
          <w:szCs w:val="32"/>
        </w:rPr>
        <w:t>年，</w:t>
      </w:r>
      <w:r>
        <w:rPr>
          <w:rFonts w:hint="default" w:ascii="仿宋_GB2312" w:hAnsi="Times New Roman" w:eastAsia="仿宋_GB2312" w:cs="仿宋_GB2312"/>
          <w:color w:val="000000"/>
          <w:spacing w:val="0"/>
          <w:sz w:val="32"/>
          <w:szCs w:val="32"/>
        </w:rPr>
        <w:t>周村区住房和城乡建设局认真贯彻落实《中华人民共和国政府信息公开条例》各项要求，</w:t>
      </w:r>
      <w:r>
        <w:rPr>
          <w:rFonts w:hint="eastAsia" w:ascii="仿宋_GB2312" w:hAnsi="Times New Roman" w:eastAsia="仿宋_GB2312" w:cs="仿宋_GB2312"/>
          <w:color w:val="000000"/>
          <w:spacing w:val="0"/>
          <w:sz w:val="32"/>
          <w:szCs w:val="32"/>
          <w:lang w:eastAsia="zh-CN"/>
        </w:rPr>
        <w:t>坚持</w:t>
      </w:r>
      <w:r>
        <w:rPr>
          <w:rFonts w:hint="default" w:ascii="Times New Roman" w:hAnsi="Times New Roman" w:cs="Times New Roman"/>
          <w:color w:val="000000"/>
          <w:spacing w:val="0"/>
          <w:sz w:val="32"/>
          <w:szCs w:val="32"/>
        </w:rPr>
        <w:t>“</w:t>
      </w:r>
      <w:r>
        <w:rPr>
          <w:rFonts w:hint="eastAsia" w:ascii="仿宋_GB2312" w:hAnsi="Times New Roman" w:eastAsia="仿宋_GB2312" w:cs="仿宋_GB2312"/>
          <w:color w:val="000000"/>
          <w:spacing w:val="0"/>
          <w:sz w:val="32"/>
          <w:szCs w:val="32"/>
          <w:lang w:eastAsia="zh-CN"/>
        </w:rPr>
        <w:t>以</w:t>
      </w:r>
      <w:r>
        <w:rPr>
          <w:rFonts w:hint="default" w:ascii="仿宋_GB2312" w:hAnsi="Times New Roman" w:eastAsia="仿宋_GB2312" w:cs="仿宋_GB2312"/>
          <w:color w:val="000000"/>
          <w:spacing w:val="0"/>
          <w:sz w:val="32"/>
          <w:szCs w:val="32"/>
        </w:rPr>
        <w:t>公开</w:t>
      </w:r>
      <w:r>
        <w:rPr>
          <w:rFonts w:hint="eastAsia" w:ascii="仿宋_GB2312" w:hAnsi="Times New Roman" w:eastAsia="仿宋_GB2312" w:cs="仿宋_GB2312"/>
          <w:color w:val="000000"/>
          <w:spacing w:val="0"/>
          <w:sz w:val="32"/>
          <w:szCs w:val="32"/>
          <w:lang w:eastAsia="zh-CN"/>
        </w:rPr>
        <w:t>为</w:t>
      </w:r>
      <w:r>
        <w:rPr>
          <w:rFonts w:hint="default" w:ascii="仿宋_GB2312" w:eastAsia="仿宋_GB2312" w:cs="仿宋_GB2312"/>
          <w:color w:val="000000"/>
          <w:spacing w:val="0"/>
          <w:sz w:val="32"/>
          <w:szCs w:val="32"/>
        </w:rPr>
        <w:t>原则，</w:t>
      </w:r>
      <w:r>
        <w:rPr>
          <w:rFonts w:hint="eastAsia" w:ascii="仿宋_GB2312" w:eastAsia="仿宋_GB2312" w:cs="仿宋_GB2312"/>
          <w:color w:val="000000"/>
          <w:spacing w:val="0"/>
          <w:sz w:val="32"/>
          <w:szCs w:val="32"/>
          <w:lang w:eastAsia="zh-CN"/>
        </w:rPr>
        <w:t>不公开为例外”的政府信息公开思路，服务群众生产生活，维护群众合法权益</w:t>
      </w:r>
      <w:r>
        <w:rPr>
          <w:rFonts w:hint="default" w:ascii="仿宋_GB2312" w:hAnsi="Times New Roman" w:eastAsia="仿宋_GB2312" w:cs="仿宋_GB2312"/>
          <w:color w:val="000000"/>
          <w:spacing w:val="0"/>
          <w:sz w:val="32"/>
          <w:szCs w:val="32"/>
        </w:rPr>
        <w:t>。</w:t>
      </w:r>
      <w:r>
        <w:rPr>
          <w:rFonts w:hint="default" w:ascii="仿宋_GB2312" w:hAnsi="Times New Roman" w:eastAsia="仿宋_GB2312" w:cs="仿宋_GB2312"/>
          <w:i w:val="0"/>
          <w:caps w:val="0"/>
          <w:color w:val="000000"/>
          <w:spacing w:val="0"/>
          <w:sz w:val="32"/>
          <w:szCs w:val="32"/>
        </w:rPr>
        <w:t>现向社会公布</w:t>
      </w:r>
      <w:r>
        <w:rPr>
          <w:rFonts w:hint="default" w:ascii="仿宋_GB2312" w:hAnsi="微软雅黑" w:eastAsia="仿宋_GB2312" w:cs="仿宋_GB2312"/>
          <w:i w:val="0"/>
          <w:caps w:val="0"/>
          <w:color w:val="000000"/>
          <w:spacing w:val="0"/>
          <w:sz w:val="32"/>
          <w:szCs w:val="32"/>
        </w:rPr>
        <w:t>周村区</w:t>
      </w:r>
      <w:r>
        <w:rPr>
          <w:rFonts w:hint="eastAsia" w:ascii="仿宋_GB2312" w:hAnsi="Times New Roman" w:eastAsia="仿宋_GB2312" w:cs="仿宋_GB2312"/>
          <w:i w:val="0"/>
          <w:caps w:val="0"/>
          <w:color w:val="000000"/>
          <w:spacing w:val="0"/>
          <w:sz w:val="32"/>
          <w:szCs w:val="32"/>
          <w:lang w:eastAsia="zh-CN"/>
        </w:rPr>
        <w:t>住建</w:t>
      </w:r>
      <w:r>
        <w:rPr>
          <w:rFonts w:hint="default" w:ascii="仿宋_GB2312" w:hAnsi="Times New Roman" w:eastAsia="仿宋_GB2312" w:cs="仿宋_GB2312"/>
          <w:i w:val="0"/>
          <w:caps w:val="0"/>
          <w:color w:val="000000"/>
          <w:spacing w:val="0"/>
          <w:sz w:val="32"/>
          <w:szCs w:val="32"/>
        </w:rPr>
        <w:t>局</w:t>
      </w:r>
      <w:r>
        <w:rPr>
          <w:rFonts w:hint="eastAsia" w:ascii="Times New Roman" w:hAnsi="Times New Roman" w:eastAsia="微软雅黑" w:cs="Times New Roman"/>
          <w:i w:val="0"/>
          <w:caps w:val="0"/>
          <w:color w:val="000000"/>
          <w:spacing w:val="0"/>
          <w:sz w:val="32"/>
          <w:szCs w:val="32"/>
          <w:lang w:eastAsia="zh-CN"/>
        </w:rPr>
        <w:t>2025</w:t>
      </w:r>
      <w:r>
        <w:rPr>
          <w:rFonts w:hint="default" w:ascii="仿宋_GB2312" w:hAnsi="Times New Roman" w:eastAsia="仿宋_GB2312" w:cs="仿宋_GB2312"/>
          <w:i w:val="0"/>
          <w:caps w:val="0"/>
          <w:color w:val="000000"/>
          <w:spacing w:val="0"/>
          <w:sz w:val="32"/>
          <w:szCs w:val="32"/>
        </w:rPr>
        <w:t>年政府信息公开工作年度报告。本年度报告中所列数据的统计期限自</w:t>
      </w:r>
      <w:r>
        <w:rPr>
          <w:rFonts w:hint="eastAsia" w:ascii="Times New Roman" w:hAnsi="Times New Roman" w:eastAsia="微软雅黑" w:cs="Times New Roman"/>
          <w:i w:val="0"/>
          <w:caps w:val="0"/>
          <w:color w:val="000000"/>
          <w:spacing w:val="0"/>
          <w:sz w:val="32"/>
          <w:szCs w:val="32"/>
          <w:lang w:eastAsia="zh-CN"/>
        </w:rPr>
        <w:t>2025</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月</w:t>
      </w:r>
      <w:r>
        <w:rPr>
          <w:rFonts w:hint="default" w:ascii="Times New Roman" w:hAnsi="Times New Roman" w:eastAsia="微软雅黑" w:cs="Times New Roman"/>
          <w:i w:val="0"/>
          <w:caps w:val="0"/>
          <w:color w:val="000000"/>
          <w:spacing w:val="0"/>
          <w:sz w:val="32"/>
          <w:szCs w:val="32"/>
        </w:rPr>
        <w:t>1</w:t>
      </w:r>
      <w:r>
        <w:rPr>
          <w:rFonts w:hint="default" w:ascii="仿宋_GB2312" w:hAnsi="Times New Roman" w:eastAsia="仿宋_GB2312" w:cs="仿宋_GB2312"/>
          <w:i w:val="0"/>
          <w:caps w:val="0"/>
          <w:color w:val="000000"/>
          <w:spacing w:val="0"/>
          <w:sz w:val="32"/>
          <w:szCs w:val="32"/>
        </w:rPr>
        <w:t>日起，至</w:t>
      </w:r>
      <w:r>
        <w:rPr>
          <w:rFonts w:hint="eastAsia" w:ascii="Times New Roman" w:hAnsi="Times New Roman" w:eastAsia="微软雅黑" w:cs="Times New Roman"/>
          <w:i w:val="0"/>
          <w:caps w:val="0"/>
          <w:color w:val="000000"/>
          <w:spacing w:val="0"/>
          <w:sz w:val="32"/>
          <w:szCs w:val="32"/>
          <w:lang w:eastAsia="zh-CN"/>
        </w:rPr>
        <w:t>2025</w:t>
      </w:r>
      <w:r>
        <w:rPr>
          <w:rFonts w:hint="default" w:ascii="仿宋_GB2312" w:hAnsi="Times New Roman" w:eastAsia="仿宋_GB2312" w:cs="仿宋_GB2312"/>
          <w:i w:val="0"/>
          <w:caps w:val="0"/>
          <w:color w:val="000000"/>
          <w:spacing w:val="0"/>
          <w:sz w:val="32"/>
          <w:szCs w:val="32"/>
        </w:rPr>
        <w:t>年</w:t>
      </w:r>
      <w:r>
        <w:rPr>
          <w:rFonts w:hint="default" w:ascii="Times New Roman" w:hAnsi="Times New Roman" w:eastAsia="微软雅黑" w:cs="Times New Roman"/>
          <w:i w:val="0"/>
          <w:caps w:val="0"/>
          <w:color w:val="000000"/>
          <w:spacing w:val="0"/>
          <w:sz w:val="32"/>
          <w:szCs w:val="32"/>
        </w:rPr>
        <w:t>12</w:t>
      </w:r>
      <w:r>
        <w:rPr>
          <w:rFonts w:hint="default" w:ascii="仿宋_GB2312" w:hAnsi="Times New Roman" w:eastAsia="仿宋_GB2312" w:cs="仿宋_GB2312"/>
          <w:i w:val="0"/>
          <w:caps w:val="0"/>
          <w:color w:val="000000"/>
          <w:spacing w:val="0"/>
          <w:sz w:val="32"/>
          <w:szCs w:val="32"/>
        </w:rPr>
        <w:t>月</w:t>
      </w:r>
      <w:r>
        <w:rPr>
          <w:rFonts w:hint="default" w:ascii="Times New Roman" w:hAnsi="Times New Roman" w:eastAsia="微软雅黑" w:cs="Times New Roman"/>
          <w:i w:val="0"/>
          <w:caps w:val="0"/>
          <w:color w:val="000000"/>
          <w:spacing w:val="0"/>
          <w:sz w:val="32"/>
          <w:szCs w:val="32"/>
        </w:rPr>
        <w:t>31</w:t>
      </w:r>
      <w:r>
        <w:rPr>
          <w:rFonts w:hint="default" w:ascii="仿宋_GB2312" w:hAnsi="Times New Roman" w:eastAsia="仿宋_GB2312" w:cs="仿宋_GB2312"/>
          <w:i w:val="0"/>
          <w:caps w:val="0"/>
          <w:color w:val="000000"/>
          <w:spacing w:val="0"/>
          <w:sz w:val="32"/>
          <w:szCs w:val="32"/>
        </w:rPr>
        <w:t>日止。</w:t>
      </w:r>
      <w:r>
        <w:rPr>
          <w:rFonts w:ascii="仿宋_GB2312" w:hAnsi="宋体" w:eastAsia="仿宋_GB2312" w:cs="仿宋_GB2312"/>
          <w:i w:val="0"/>
          <w:caps w:val="0"/>
          <w:color w:val="000000"/>
          <w:spacing w:val="0"/>
          <w:sz w:val="32"/>
          <w:szCs w:val="32"/>
          <w:shd w:val="clear" w:fill="FFFFFF"/>
        </w:rPr>
        <w:t>如对本报告有疑问，请联系周村区</w:t>
      </w:r>
      <w:r>
        <w:rPr>
          <w:rFonts w:hint="eastAsia" w:ascii="仿宋_GB2312" w:hAnsi="宋体" w:eastAsia="仿宋_GB2312" w:cs="仿宋_GB2312"/>
          <w:i w:val="0"/>
          <w:caps w:val="0"/>
          <w:color w:val="000000"/>
          <w:spacing w:val="0"/>
          <w:sz w:val="32"/>
          <w:szCs w:val="32"/>
          <w:shd w:val="clear" w:fill="FFFFFF"/>
          <w:lang w:eastAsia="zh-CN"/>
        </w:rPr>
        <w:t>住建</w:t>
      </w:r>
      <w:r>
        <w:rPr>
          <w:rFonts w:ascii="仿宋_GB2312" w:hAnsi="宋体" w:eastAsia="仿宋_GB2312" w:cs="仿宋_GB2312"/>
          <w:i w:val="0"/>
          <w:caps w:val="0"/>
          <w:color w:val="000000"/>
          <w:spacing w:val="0"/>
          <w:sz w:val="32"/>
          <w:szCs w:val="32"/>
          <w:shd w:val="clear" w:fill="FFFFFF"/>
        </w:rPr>
        <w:t>局办公室，联系电话：</w:t>
      </w:r>
      <w:r>
        <w:rPr>
          <w:rFonts w:hint="default" w:ascii="Times New Roman" w:hAnsi="Times New Roman" w:eastAsia="宋体" w:cs="Times New Roman"/>
          <w:i w:val="0"/>
          <w:caps w:val="0"/>
          <w:color w:val="000000"/>
          <w:spacing w:val="0"/>
          <w:sz w:val="32"/>
          <w:szCs w:val="32"/>
          <w:shd w:val="clear" w:fill="FFFFFF"/>
        </w:rPr>
        <w:t>0533-6</w:t>
      </w:r>
      <w:r>
        <w:rPr>
          <w:rFonts w:hint="eastAsia" w:ascii="Times New Roman" w:hAnsi="Times New Roman" w:eastAsia="宋体" w:cs="Times New Roman"/>
          <w:i w:val="0"/>
          <w:caps w:val="0"/>
          <w:color w:val="000000"/>
          <w:spacing w:val="0"/>
          <w:sz w:val="32"/>
          <w:szCs w:val="32"/>
          <w:shd w:val="clear" w:fill="FFFFFF"/>
          <w:lang w:val="en-US" w:eastAsia="zh-CN"/>
        </w:rPr>
        <w:t>401101</w:t>
      </w:r>
      <w:r>
        <w:rPr>
          <w:rFonts w:hint="default" w:ascii="仿宋_GB2312" w:hAnsi="宋体" w:eastAsia="仿宋_GB2312" w:cs="仿宋_GB2312"/>
          <w:i w:val="0"/>
          <w:caps w:val="0"/>
          <w:color w:val="000000"/>
          <w:spacing w:val="0"/>
          <w:sz w:val="32"/>
          <w:szCs w:val="32"/>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pPr>
      <w:r>
        <w:rPr>
          <w:rFonts w:ascii="黑体" w:hAnsi="宋体" w:eastAsia="黑体" w:cs="黑体"/>
          <w:color w:val="000000"/>
          <w:spacing w:val="0"/>
          <w:sz w:val="32"/>
          <w:szCs w:val="32"/>
        </w:rPr>
        <w:t>一、总体情况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jc w:val="both"/>
        <w:textAlignment w:val="auto"/>
      </w:pPr>
      <w:r>
        <w:rPr>
          <w:rFonts w:hint="eastAsia" w:ascii="Times New Roman" w:hAnsi="Times New Roman" w:eastAsia="仿宋_GB2312" w:cs="Times New Roman"/>
          <w:color w:val="000000"/>
          <w:spacing w:val="0"/>
          <w:sz w:val="32"/>
          <w:szCs w:val="32"/>
          <w:lang w:eastAsia="zh-CN"/>
        </w:rPr>
        <w:t>2025</w:t>
      </w:r>
      <w:r>
        <w:rPr>
          <w:rFonts w:hint="default" w:ascii="仿宋_GB2312" w:hAnsi="Times New Roman" w:eastAsia="仿宋_GB2312" w:cs="仿宋_GB2312"/>
          <w:color w:val="000000"/>
          <w:spacing w:val="0"/>
          <w:sz w:val="32"/>
          <w:szCs w:val="32"/>
        </w:rPr>
        <w:t>年，周村区住房和城乡建设局</w:t>
      </w:r>
      <w:r>
        <w:rPr>
          <w:rFonts w:hint="default" w:ascii="仿宋_GB2312" w:hAnsi="微软雅黑" w:eastAsia="仿宋_GB2312" w:cs="仿宋_GB2312"/>
          <w:i w:val="0"/>
          <w:caps w:val="0"/>
          <w:color w:val="000000"/>
          <w:spacing w:val="0"/>
          <w:sz w:val="32"/>
          <w:szCs w:val="32"/>
        </w:rPr>
        <w:t>进一步建立健全政府信息发布机制、政府信息公开审查机制，</w:t>
      </w:r>
      <w:r>
        <w:rPr>
          <w:rFonts w:hint="default" w:ascii="仿宋_GB2312" w:hAnsi="Times New Roman" w:eastAsia="仿宋_GB2312" w:cs="仿宋_GB2312"/>
          <w:i w:val="0"/>
          <w:caps w:val="0"/>
          <w:color w:val="000000"/>
          <w:spacing w:val="0"/>
          <w:sz w:val="32"/>
          <w:szCs w:val="32"/>
        </w:rPr>
        <w:t>不断完善政府信息公开工作指南和公开目录，</w:t>
      </w:r>
      <w:r>
        <w:rPr>
          <w:rFonts w:hint="eastAsia" w:ascii="仿宋_GB2312" w:hAnsi="Times New Roman" w:eastAsia="仿宋_GB2312" w:cs="仿宋_GB2312"/>
          <w:i w:val="0"/>
          <w:caps w:val="0"/>
          <w:color w:val="000000"/>
          <w:spacing w:val="0"/>
          <w:sz w:val="32"/>
          <w:szCs w:val="32"/>
          <w:lang w:eastAsia="zh-CN"/>
        </w:rPr>
        <w:t>做好各项公开工作</w:t>
      </w:r>
      <w:r>
        <w:rPr>
          <w:rFonts w:ascii="Times New Roman" w:hAnsi="Times New Roman" w:eastAsia="仿宋_GB2312" w:cs="Times New Roman"/>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pPr>
      <w:r>
        <w:rPr>
          <w:rFonts w:ascii="楷体" w:hAnsi="楷体" w:eastAsia="楷体" w:cs="楷体"/>
          <w:color w:val="000000"/>
          <w:sz w:val="32"/>
          <w:szCs w:val="32"/>
        </w:rPr>
        <w:t>（一）</w:t>
      </w:r>
      <w:r>
        <w:rPr>
          <w:rFonts w:hint="eastAsia" w:ascii="楷体" w:hAnsi="楷体" w:eastAsia="楷体" w:cs="楷体"/>
          <w:color w:val="000000"/>
          <w:sz w:val="32"/>
          <w:szCs w:val="32"/>
          <w:lang w:eastAsia="zh-CN"/>
        </w:rPr>
        <w:t>扩大</w:t>
      </w:r>
      <w:r>
        <w:rPr>
          <w:rFonts w:ascii="楷体" w:hAnsi="楷体" w:eastAsia="楷体" w:cs="楷体"/>
          <w:color w:val="000000"/>
          <w:sz w:val="32"/>
          <w:szCs w:val="32"/>
        </w:rPr>
        <w:t>主动公开</w:t>
      </w:r>
      <w:r>
        <w:rPr>
          <w:rFonts w:hint="eastAsia" w:ascii="楷体" w:hAnsi="楷体" w:eastAsia="楷体" w:cs="楷体"/>
          <w:color w:val="000000"/>
          <w:sz w:val="32"/>
          <w:szCs w:val="32"/>
          <w:lang w:eastAsia="zh-CN"/>
        </w:rPr>
        <w:t>范围</w:t>
      </w:r>
      <w:r>
        <w:rPr>
          <w:rFonts w:ascii="楷体" w:hAnsi="楷体" w:eastAsia="楷体" w:cs="楷体"/>
          <w:color w:val="000000"/>
          <w:sz w:val="32"/>
          <w:szCs w:val="32"/>
        </w:rPr>
        <w:t>。</w:t>
      </w:r>
      <w:r>
        <w:rPr>
          <w:rFonts w:hint="eastAsia" w:ascii="仿宋_GB2312" w:hAnsi="微软雅黑" w:eastAsia="仿宋_GB2312" w:cs="仿宋_GB2312"/>
          <w:i w:val="0"/>
          <w:caps w:val="0"/>
          <w:color w:val="000000"/>
          <w:spacing w:val="0"/>
          <w:sz w:val="32"/>
          <w:szCs w:val="32"/>
          <w:lang w:eastAsia="zh-CN"/>
        </w:rPr>
        <w:t>进一步</w:t>
      </w:r>
      <w:r>
        <w:rPr>
          <w:rFonts w:hint="default" w:ascii="仿宋_GB2312" w:hAnsi="微软雅黑" w:eastAsia="仿宋_GB2312" w:cs="仿宋_GB2312"/>
          <w:i w:val="0"/>
          <w:caps w:val="0"/>
          <w:color w:val="000000"/>
          <w:spacing w:val="0"/>
          <w:sz w:val="32"/>
          <w:szCs w:val="32"/>
        </w:rPr>
        <w:t>政府信息</w:t>
      </w:r>
      <w:r>
        <w:rPr>
          <w:rFonts w:hint="eastAsia" w:ascii="仿宋_GB2312" w:hAnsi="微软雅黑" w:eastAsia="仿宋_GB2312" w:cs="仿宋_GB2312"/>
          <w:i w:val="0"/>
          <w:caps w:val="0"/>
          <w:color w:val="000000"/>
          <w:spacing w:val="0"/>
          <w:sz w:val="32"/>
          <w:szCs w:val="32"/>
          <w:lang w:eastAsia="zh-CN"/>
        </w:rPr>
        <w:t>主动公开范围</w:t>
      </w:r>
      <w:r>
        <w:rPr>
          <w:rFonts w:hint="default" w:ascii="仿宋_GB2312" w:hAnsi="微软雅黑" w:eastAsia="仿宋_GB2312" w:cs="仿宋_GB2312"/>
          <w:i w:val="0"/>
          <w:caps w:val="0"/>
          <w:color w:val="000000"/>
          <w:spacing w:val="0"/>
          <w:sz w:val="32"/>
          <w:szCs w:val="32"/>
        </w:rPr>
        <w:t>，</w:t>
      </w:r>
      <w:r>
        <w:rPr>
          <w:rFonts w:hint="eastAsia" w:ascii="仿宋_GB2312" w:hAnsi="微软雅黑" w:eastAsia="仿宋_GB2312" w:cs="仿宋_GB2312"/>
          <w:i w:val="0"/>
          <w:caps w:val="0"/>
          <w:color w:val="000000"/>
          <w:spacing w:val="0"/>
          <w:sz w:val="32"/>
          <w:szCs w:val="32"/>
          <w:lang w:eastAsia="zh-CN"/>
        </w:rPr>
        <w:t>通过专业网站、微信公众号等渠道，</w:t>
      </w:r>
      <w:r>
        <w:rPr>
          <w:rFonts w:hint="default" w:ascii="仿宋_GB2312" w:hAnsi="Times New Roman" w:eastAsia="仿宋_GB2312" w:cs="仿宋_GB2312"/>
          <w:color w:val="000000"/>
          <w:spacing w:val="0"/>
          <w:sz w:val="32"/>
          <w:szCs w:val="32"/>
        </w:rPr>
        <w:t>发布审批事项办理指导手册，做好相关工程信息公开，实时更新施工信息、消防设计审核意见书、工程质量安全备案、竣工验收备案表，</w:t>
      </w:r>
      <w:r>
        <w:rPr>
          <w:rFonts w:hint="default" w:ascii="仿宋_GB2312" w:hAnsi="Times New Roman" w:eastAsia="仿宋_GB2312" w:cs="仿宋_GB2312"/>
          <w:i w:val="0"/>
          <w:caps w:val="0"/>
          <w:color w:val="000000"/>
          <w:spacing w:val="0"/>
          <w:sz w:val="32"/>
          <w:szCs w:val="32"/>
        </w:rPr>
        <w:t>最大限度地保障公民、法人和其他组织依法获取政府信息</w:t>
      </w:r>
      <w:r>
        <w:rPr>
          <w:rFonts w:hint="default" w:ascii="仿宋_GB2312" w:hAnsi="Times New Roman" w:eastAsia="仿宋_GB2312" w:cs="仿宋_GB2312"/>
          <w:color w:val="000000"/>
          <w:spacing w:val="0"/>
          <w:sz w:val="32"/>
          <w:szCs w:val="32"/>
        </w:rPr>
        <w:t>。</w:t>
      </w:r>
      <w:r>
        <w:rPr>
          <w:rFonts w:hint="eastAsia" w:ascii="Times New Roman" w:hAnsi="Times New Roman" w:eastAsia="仿宋_GB2312" w:cs="Times New Roman"/>
          <w:color w:val="000000"/>
          <w:spacing w:val="0"/>
          <w:sz w:val="32"/>
          <w:szCs w:val="32"/>
          <w:lang w:eastAsia="zh-CN"/>
        </w:rPr>
        <w:t>2025</w:t>
      </w:r>
      <w:r>
        <w:rPr>
          <w:rFonts w:hint="default" w:ascii="仿宋_GB2312" w:eastAsia="仿宋_GB2312" w:cs="仿宋_GB2312"/>
          <w:color w:val="000000"/>
          <w:spacing w:val="0"/>
          <w:sz w:val="32"/>
          <w:szCs w:val="32"/>
        </w:rPr>
        <w:t>年，主动公开新闻时事、文件政策、政策解读、执法结果、房地产市场监督等各类信息</w:t>
      </w:r>
      <w:r>
        <w:rPr>
          <w:rFonts w:hint="eastAsia" w:ascii="仿宋_GB2312" w:eastAsia="仿宋_GB2312" w:cs="仿宋_GB2312"/>
          <w:color w:val="000000"/>
          <w:spacing w:val="0"/>
          <w:sz w:val="32"/>
          <w:szCs w:val="32"/>
          <w:lang w:val="en-US" w:eastAsia="zh-CN"/>
        </w:rPr>
        <w:t>213</w:t>
      </w:r>
      <w:r>
        <w:rPr>
          <w:rFonts w:hint="default" w:ascii="仿宋_GB2312" w:eastAsia="仿宋_GB2312" w:cs="仿宋_GB2312"/>
          <w:color w:val="000000"/>
          <w:spacing w:val="0"/>
          <w:sz w:val="32"/>
          <w:szCs w:val="32"/>
        </w:rPr>
        <w:t>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pPr>
      <w:r>
        <w:rPr>
          <w:rFonts w:hint="eastAsia" w:ascii="楷体" w:hAnsi="楷体" w:eastAsia="楷体" w:cs="楷体"/>
          <w:color w:val="000000"/>
          <w:spacing w:val="0"/>
          <w:sz w:val="32"/>
          <w:szCs w:val="32"/>
        </w:rPr>
        <w:t>（二）</w:t>
      </w:r>
      <w:r>
        <w:rPr>
          <w:rFonts w:hint="eastAsia" w:ascii="楷体" w:hAnsi="楷体" w:eastAsia="楷体" w:cs="楷体"/>
          <w:color w:val="000000"/>
          <w:spacing w:val="0"/>
          <w:sz w:val="32"/>
          <w:szCs w:val="32"/>
          <w:lang w:eastAsia="zh-CN"/>
        </w:rPr>
        <w:t>严格</w:t>
      </w:r>
      <w:r>
        <w:rPr>
          <w:rFonts w:hint="eastAsia" w:ascii="楷体" w:hAnsi="楷体" w:eastAsia="楷体" w:cs="楷体"/>
          <w:color w:val="000000"/>
          <w:spacing w:val="0"/>
          <w:sz w:val="32"/>
          <w:szCs w:val="32"/>
        </w:rPr>
        <w:t>依申请公开。</w:t>
      </w:r>
      <w:r>
        <w:rPr>
          <w:rFonts w:hint="default" w:ascii="仿宋_GB2312" w:hAnsi="Times New Roman" w:eastAsia="仿宋_GB2312" w:cs="仿宋_GB2312"/>
          <w:i w:val="0"/>
          <w:caps w:val="0"/>
          <w:color w:val="000000"/>
          <w:spacing w:val="0"/>
          <w:sz w:val="32"/>
          <w:szCs w:val="32"/>
        </w:rPr>
        <w:t>认真落实《中华人民共和国政府信息公开条例》等规定</w:t>
      </w:r>
      <w:r>
        <w:rPr>
          <w:rFonts w:hint="default" w:ascii="仿宋_GB2312" w:hAnsi="微软雅黑" w:eastAsia="仿宋_GB2312" w:cs="仿宋_GB2312"/>
          <w:i w:val="0"/>
          <w:caps w:val="0"/>
          <w:color w:val="000000"/>
          <w:spacing w:val="0"/>
          <w:sz w:val="32"/>
          <w:szCs w:val="32"/>
        </w:rPr>
        <w:t>，</w:t>
      </w:r>
      <w:r>
        <w:rPr>
          <w:rFonts w:hint="default" w:ascii="仿宋_GB2312" w:hAnsi="Times New Roman" w:eastAsia="仿宋_GB2312" w:cs="仿宋_GB2312"/>
          <w:i w:val="0"/>
          <w:caps w:val="0"/>
          <w:color w:val="000000"/>
          <w:spacing w:val="0"/>
          <w:sz w:val="32"/>
          <w:szCs w:val="32"/>
        </w:rPr>
        <w:t>规范审查流程，对拟公开的政府信息实行工作人员、科室负责人、分管领导三重把关，</w:t>
      </w:r>
      <w:r>
        <w:rPr>
          <w:rFonts w:hint="eastAsia" w:ascii="仿宋_GB2312" w:hAnsi="Times New Roman" w:eastAsia="仿宋_GB2312" w:cs="仿宋_GB2312"/>
          <w:i w:val="0"/>
          <w:caps w:val="0"/>
          <w:color w:val="000000"/>
          <w:spacing w:val="0"/>
          <w:sz w:val="32"/>
          <w:szCs w:val="32"/>
          <w:lang w:val="en-US" w:eastAsia="zh-CN"/>
        </w:rPr>
        <w:t xml:space="preserve">      </w:t>
      </w:r>
      <w:r>
        <w:rPr>
          <w:rFonts w:hint="default" w:ascii="仿宋_GB2312" w:hAnsi="Times New Roman" w:eastAsia="仿宋_GB2312" w:cs="仿宋_GB2312"/>
          <w:i w:val="0"/>
          <w:caps w:val="0"/>
          <w:color w:val="000000"/>
          <w:spacing w:val="0"/>
          <w:sz w:val="32"/>
          <w:szCs w:val="32"/>
        </w:rPr>
        <w:t>确保所有公开信息经审核后公开，</w:t>
      </w:r>
      <w:r>
        <w:rPr>
          <w:rFonts w:hint="eastAsia" w:ascii="仿宋_GB2312" w:hAnsi="Times New Roman" w:eastAsia="仿宋_GB2312" w:cs="仿宋_GB2312"/>
          <w:i w:val="0"/>
          <w:caps w:val="0"/>
          <w:color w:val="000000"/>
          <w:spacing w:val="0"/>
          <w:sz w:val="32"/>
          <w:szCs w:val="32"/>
          <w:lang w:eastAsia="zh-CN"/>
        </w:rPr>
        <w:t>对</w:t>
      </w:r>
      <w:r>
        <w:rPr>
          <w:rFonts w:hint="eastAsia" w:ascii="仿宋_GB2312" w:hAnsi="Times New Roman" w:eastAsia="仿宋_GB2312" w:cs="仿宋_GB2312"/>
          <w:i w:val="0"/>
          <w:caps w:val="0"/>
          <w:color w:val="000000"/>
          <w:spacing w:val="0"/>
          <w:sz w:val="32"/>
          <w:szCs w:val="32"/>
          <w:lang w:val="en-US" w:eastAsia="zh-CN"/>
        </w:rPr>
        <w:t>1起涉及商业秘密的政府信息经征求意见后进行了部分公开</w:t>
      </w:r>
      <w:r>
        <w:rPr>
          <w:rFonts w:hint="default" w:ascii="仿宋_GB2312" w:hAnsi="Times New Roman" w:eastAsia="仿宋_GB2312" w:cs="仿宋_GB2312"/>
          <w:i w:val="0"/>
          <w:caps w:val="0"/>
          <w:color w:val="000000"/>
          <w:spacing w:val="0"/>
          <w:sz w:val="32"/>
          <w:szCs w:val="32"/>
        </w:rPr>
        <w:t>。</w:t>
      </w:r>
      <w:r>
        <w:rPr>
          <w:rFonts w:hint="eastAsia" w:ascii="Times New Roman" w:hAnsi="Times New Roman" w:eastAsia="仿宋_GB2312" w:cs="Times New Roman"/>
          <w:color w:val="000000"/>
          <w:spacing w:val="0"/>
          <w:sz w:val="32"/>
          <w:szCs w:val="32"/>
          <w:lang w:eastAsia="zh-CN"/>
        </w:rPr>
        <w:t>2025</w:t>
      </w:r>
      <w:r>
        <w:rPr>
          <w:rFonts w:hint="default" w:ascii="仿宋_GB2312" w:eastAsia="仿宋_GB2312" w:cs="仿宋_GB2312"/>
          <w:color w:val="000000"/>
          <w:spacing w:val="0"/>
          <w:sz w:val="32"/>
          <w:szCs w:val="32"/>
        </w:rPr>
        <w:t>年，收到依申请公开申请事项</w:t>
      </w:r>
      <w:r>
        <w:rPr>
          <w:rFonts w:hint="eastAsia" w:ascii="Times New Roman" w:hAnsi="Times New Roman" w:eastAsia="仿宋_GB2312" w:cs="Times New Roman"/>
          <w:color w:val="000000"/>
          <w:spacing w:val="0"/>
          <w:sz w:val="32"/>
          <w:szCs w:val="32"/>
          <w:lang w:val="en-US" w:eastAsia="zh-CN"/>
        </w:rPr>
        <w:t>27</w:t>
      </w:r>
      <w:r>
        <w:rPr>
          <w:rFonts w:hint="default" w:ascii="仿宋_GB2312" w:eastAsia="仿宋_GB2312" w:cs="仿宋_GB2312"/>
          <w:color w:val="000000"/>
          <w:spacing w:val="0"/>
          <w:sz w:val="32"/>
          <w:szCs w:val="32"/>
        </w:rPr>
        <w:t>件，</w:t>
      </w:r>
      <w:r>
        <w:rPr>
          <w:rFonts w:hint="eastAsia" w:ascii="仿宋_GB2312" w:eastAsia="仿宋_GB2312" w:cs="仿宋_GB2312"/>
          <w:color w:val="000000"/>
          <w:spacing w:val="0"/>
          <w:sz w:val="32"/>
          <w:szCs w:val="32"/>
          <w:lang w:eastAsia="zh-CN"/>
        </w:rPr>
        <w:t>按规定作出政府信息答复书</w:t>
      </w:r>
      <w:r>
        <w:rPr>
          <w:rFonts w:hint="eastAsia" w:ascii="仿宋_GB2312" w:eastAsia="仿宋_GB2312" w:cs="仿宋_GB2312"/>
          <w:color w:val="000000"/>
          <w:spacing w:val="0"/>
          <w:sz w:val="32"/>
          <w:szCs w:val="32"/>
          <w:lang w:val="en-US" w:eastAsia="zh-CN"/>
        </w:rPr>
        <w:t>17件，非本机关政府信息告知书6件，补正告知书5件</w:t>
      </w:r>
      <w:r>
        <w:rPr>
          <w:rFonts w:hint="default" w:ascii="仿宋_GB2312" w:eastAsia="仿宋_GB2312" w:cs="仿宋_GB2312"/>
          <w:color w:val="000000"/>
          <w:spacing w:val="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rPr>
          <w:rFonts w:hint="default" w:ascii="仿宋_GB2312" w:hAnsi="Times New Roman" w:eastAsia="仿宋_GB2312" w:cs="仿宋_GB2312"/>
          <w:i w:val="0"/>
          <w:caps w:val="0"/>
          <w:color w:val="000000"/>
          <w:spacing w:val="0"/>
          <w:sz w:val="32"/>
          <w:szCs w:val="32"/>
        </w:rPr>
      </w:pPr>
      <w:r>
        <w:rPr>
          <w:rFonts w:hint="eastAsia" w:ascii="楷体" w:hAnsi="楷体" w:eastAsia="楷体" w:cs="楷体"/>
          <w:color w:val="000000"/>
          <w:sz w:val="32"/>
          <w:szCs w:val="32"/>
        </w:rPr>
        <w:t>（三）</w:t>
      </w:r>
      <w:r>
        <w:rPr>
          <w:rFonts w:hint="eastAsia" w:ascii="楷体" w:hAnsi="楷体" w:eastAsia="楷体" w:cs="楷体"/>
          <w:color w:val="000000"/>
          <w:sz w:val="32"/>
          <w:szCs w:val="32"/>
          <w:lang w:eastAsia="zh-CN"/>
        </w:rPr>
        <w:t>加强</w:t>
      </w:r>
      <w:r>
        <w:rPr>
          <w:rFonts w:hint="eastAsia" w:ascii="楷体" w:hAnsi="楷体" w:eastAsia="楷体" w:cs="楷体"/>
          <w:color w:val="000000"/>
          <w:sz w:val="32"/>
          <w:szCs w:val="32"/>
        </w:rPr>
        <w:t>信息管理。</w:t>
      </w:r>
      <w:r>
        <w:rPr>
          <w:rFonts w:hint="default" w:ascii="仿宋_GB2312" w:hAnsi="Times New Roman" w:eastAsia="仿宋_GB2312" w:cs="仿宋_GB2312"/>
          <w:i w:val="0"/>
          <w:caps w:val="0"/>
          <w:color w:val="000000"/>
          <w:spacing w:val="0"/>
          <w:sz w:val="32"/>
          <w:szCs w:val="32"/>
        </w:rPr>
        <w:t>完</w:t>
      </w:r>
      <w:r>
        <w:rPr>
          <w:rFonts w:hint="default" w:ascii="仿宋_GB2312" w:hAnsi="Times New Roman" w:eastAsia="仿宋_GB2312" w:cs="仿宋_GB2312"/>
          <w:i w:val="0"/>
          <w:caps w:val="0"/>
          <w:color w:val="000000"/>
          <w:spacing w:val="0"/>
          <w:sz w:val="32"/>
          <w:szCs w:val="32"/>
        </w:rPr>
        <w:t>善政府信息公开保密审查机制，对拟公开的信息严格进行保密审查，规范信息归档管理，对主动公开和依申请公开的信息进行分类整理、定期归档，确保信息可追溯、可查询。重点围绕保障性住房领域、农村危房改造领域、老旧小区改造、房地产监管等主动公开事项目录进行公开，切实保障公众的知情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rPr>
          <w:rFonts w:hint="default" w:ascii="仿宋_GB2312" w:hAnsi="Times New Roman" w:eastAsia="仿宋_GB2312" w:cs="仿宋_GB2312"/>
          <w:i w:val="0"/>
          <w:caps w:val="0"/>
          <w:color w:val="000000"/>
          <w:spacing w:val="0"/>
          <w:sz w:val="32"/>
          <w:szCs w:val="32"/>
        </w:rPr>
      </w:pPr>
      <w:r>
        <w:rPr>
          <w:rFonts w:hint="eastAsia" w:ascii="楷体" w:hAnsi="楷体" w:eastAsia="楷体" w:cs="楷体"/>
          <w:color w:val="000000"/>
          <w:spacing w:val="0"/>
          <w:sz w:val="32"/>
          <w:szCs w:val="32"/>
        </w:rPr>
        <w:t>（四）</w:t>
      </w:r>
      <w:r>
        <w:rPr>
          <w:rFonts w:hint="eastAsia" w:ascii="楷体" w:hAnsi="楷体" w:eastAsia="楷体" w:cs="楷体"/>
          <w:color w:val="000000"/>
          <w:spacing w:val="0"/>
          <w:sz w:val="32"/>
          <w:szCs w:val="32"/>
          <w:lang w:eastAsia="zh-CN"/>
        </w:rPr>
        <w:t>强化</w:t>
      </w:r>
      <w:r>
        <w:rPr>
          <w:rFonts w:hint="eastAsia" w:ascii="楷体" w:hAnsi="楷体" w:eastAsia="楷体" w:cs="楷体"/>
          <w:color w:val="000000"/>
          <w:spacing w:val="0"/>
          <w:sz w:val="32"/>
          <w:szCs w:val="32"/>
        </w:rPr>
        <w:t>平台</w:t>
      </w:r>
      <w:r>
        <w:rPr>
          <w:rFonts w:hint="eastAsia" w:ascii="楷体" w:hAnsi="楷体" w:eastAsia="楷体" w:cs="楷体"/>
          <w:color w:val="000000"/>
          <w:spacing w:val="0"/>
          <w:sz w:val="32"/>
          <w:szCs w:val="32"/>
          <w:lang w:eastAsia="zh-CN"/>
        </w:rPr>
        <w:t>建设</w:t>
      </w:r>
      <w:r>
        <w:rPr>
          <w:rFonts w:hint="eastAsia" w:ascii="楷体" w:hAnsi="楷体" w:eastAsia="楷体" w:cs="楷体"/>
          <w:color w:val="000000"/>
          <w:spacing w:val="0"/>
          <w:sz w:val="32"/>
          <w:szCs w:val="32"/>
        </w:rPr>
        <w:t>。</w:t>
      </w:r>
      <w:r>
        <w:rPr>
          <w:rFonts w:hint="eastAsia" w:ascii="仿宋_GB2312" w:hAnsi="Times New Roman" w:eastAsia="仿宋_GB2312" w:cs="仿宋_GB2312"/>
          <w:i w:val="0"/>
          <w:caps w:val="0"/>
          <w:color w:val="000000"/>
          <w:spacing w:val="0"/>
          <w:sz w:val="32"/>
          <w:szCs w:val="32"/>
          <w:lang w:eastAsia="zh-CN"/>
        </w:rPr>
        <w:t>依托政府网站</w:t>
      </w:r>
      <w:r>
        <w:rPr>
          <w:rFonts w:hint="default" w:ascii="仿宋_GB2312" w:hAnsi="Times New Roman" w:eastAsia="仿宋_GB2312" w:cs="仿宋_GB2312"/>
          <w:i w:val="0"/>
          <w:caps w:val="0"/>
          <w:color w:val="000000"/>
          <w:spacing w:val="0"/>
          <w:sz w:val="32"/>
          <w:szCs w:val="32"/>
        </w:rPr>
        <w:t>及时发布住建领域政策解读、工作动态等信息，对领导班子、内设机构进行公示更新，明确住建局各</w:t>
      </w:r>
      <w:r>
        <w:rPr>
          <w:rFonts w:hint="eastAsia" w:ascii="仿宋_GB2312" w:hAnsi="Times New Roman" w:eastAsia="仿宋_GB2312" w:cs="仿宋_GB2312"/>
          <w:i w:val="0"/>
          <w:caps w:val="0"/>
          <w:color w:val="000000"/>
          <w:spacing w:val="0"/>
          <w:sz w:val="32"/>
          <w:szCs w:val="32"/>
          <w:lang w:eastAsia="zh-CN"/>
        </w:rPr>
        <w:t>科室</w:t>
      </w:r>
      <w:r>
        <w:rPr>
          <w:rFonts w:hint="default" w:ascii="仿宋_GB2312" w:hAnsi="Times New Roman" w:eastAsia="仿宋_GB2312" w:cs="仿宋_GB2312"/>
          <w:i w:val="0"/>
          <w:caps w:val="0"/>
          <w:color w:val="000000"/>
          <w:spacing w:val="0"/>
          <w:sz w:val="32"/>
          <w:szCs w:val="32"/>
        </w:rPr>
        <w:t>工作职责。对工作动态、工作成效、项目建设、项目检查、安全生产等进行信息公开</w:t>
      </w:r>
      <w:r>
        <w:rPr>
          <w:rFonts w:hint="eastAsia" w:ascii="仿宋_GB2312" w:hAnsi="Times New Roman" w:eastAsia="仿宋_GB2312" w:cs="仿宋_GB2312"/>
          <w:i w:val="0"/>
          <w:caps w:val="0"/>
          <w:color w:val="000000"/>
          <w:spacing w:val="0"/>
          <w:sz w:val="32"/>
          <w:szCs w:val="32"/>
          <w:lang w:eastAsia="zh-CN"/>
        </w:rPr>
        <w:t>，</w:t>
      </w:r>
      <w:r>
        <w:rPr>
          <w:rFonts w:hint="default" w:ascii="仿宋_GB2312" w:hAnsi="Times New Roman" w:eastAsia="仿宋_GB2312" w:cs="仿宋_GB2312"/>
          <w:i w:val="0"/>
          <w:caps w:val="0"/>
          <w:color w:val="000000"/>
          <w:spacing w:val="0"/>
          <w:sz w:val="32"/>
          <w:szCs w:val="32"/>
        </w:rPr>
        <w:t>依托服务大厅公开窗口，提供信息查询、申请接收等线下服务，线上线下联动的信息公开格局进一步完善。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pPr>
      <w:r>
        <w:rPr>
          <w:rFonts w:hint="eastAsia" w:ascii="楷体" w:hAnsi="楷体" w:eastAsia="楷体" w:cs="楷体"/>
          <w:color w:val="000000"/>
          <w:spacing w:val="0"/>
          <w:sz w:val="32"/>
          <w:szCs w:val="32"/>
        </w:rPr>
        <w:t>（五）</w:t>
      </w:r>
      <w:r>
        <w:rPr>
          <w:rFonts w:hint="eastAsia" w:ascii="楷体" w:hAnsi="楷体" w:eastAsia="楷体" w:cs="楷体"/>
          <w:color w:val="000000"/>
          <w:spacing w:val="0"/>
          <w:sz w:val="32"/>
          <w:szCs w:val="32"/>
          <w:lang w:eastAsia="zh-CN"/>
        </w:rPr>
        <w:t>完善保障制度</w:t>
      </w:r>
      <w:r>
        <w:rPr>
          <w:rFonts w:hint="eastAsia" w:ascii="楷体" w:hAnsi="楷体" w:eastAsia="楷体" w:cs="楷体"/>
          <w:color w:val="000000"/>
          <w:spacing w:val="0"/>
          <w:sz w:val="32"/>
          <w:szCs w:val="32"/>
        </w:rPr>
        <w:t>。</w:t>
      </w:r>
      <w:r>
        <w:rPr>
          <w:rFonts w:hint="default" w:ascii="仿宋_GB2312" w:hAnsi="微软雅黑" w:eastAsia="仿宋_GB2312" w:cs="仿宋_GB2312"/>
          <w:i w:val="0"/>
          <w:caps w:val="0"/>
          <w:color w:val="000000"/>
          <w:spacing w:val="0"/>
          <w:sz w:val="32"/>
          <w:szCs w:val="32"/>
        </w:rPr>
        <w:t>成立</w:t>
      </w:r>
      <w:r>
        <w:rPr>
          <w:rFonts w:hint="eastAsia" w:ascii="仿宋_GB2312" w:hAnsi="微软雅黑" w:eastAsia="仿宋_GB2312" w:cs="仿宋_GB2312"/>
          <w:i w:val="0"/>
          <w:caps w:val="0"/>
          <w:color w:val="000000"/>
          <w:spacing w:val="0"/>
          <w:sz w:val="32"/>
          <w:szCs w:val="32"/>
          <w:lang w:eastAsia="zh-CN"/>
        </w:rPr>
        <w:t>住建局</w:t>
      </w:r>
      <w:r>
        <w:rPr>
          <w:rFonts w:hint="default" w:ascii="仿宋_GB2312" w:hAnsi="微软雅黑" w:eastAsia="仿宋_GB2312" w:cs="仿宋_GB2312"/>
          <w:i w:val="0"/>
          <w:caps w:val="0"/>
          <w:color w:val="000000"/>
          <w:spacing w:val="0"/>
          <w:sz w:val="32"/>
          <w:szCs w:val="32"/>
        </w:rPr>
        <w:t>政府信息公开工作领导小组，</w:t>
      </w:r>
      <w:r>
        <w:rPr>
          <w:rFonts w:hint="default" w:ascii="仿宋_GB2312" w:hAnsi="Times New Roman" w:eastAsia="仿宋_GB2312" w:cs="仿宋_GB2312"/>
          <w:i w:val="0"/>
          <w:caps w:val="0"/>
          <w:color w:val="000000"/>
          <w:spacing w:val="0"/>
          <w:sz w:val="32"/>
          <w:szCs w:val="32"/>
        </w:rPr>
        <w:t>制定</w:t>
      </w:r>
      <w:r>
        <w:rPr>
          <w:rFonts w:hint="default" w:ascii="仿宋_GB2312" w:hAnsi="微软雅黑" w:eastAsia="仿宋_GB2312" w:cs="仿宋_GB2312"/>
          <w:i w:val="0"/>
          <w:caps w:val="0"/>
          <w:color w:val="000000"/>
          <w:spacing w:val="0"/>
          <w:sz w:val="32"/>
          <w:szCs w:val="32"/>
        </w:rPr>
        <w:t>完善相关</w:t>
      </w:r>
      <w:r>
        <w:rPr>
          <w:rFonts w:hint="default" w:ascii="仿宋_GB2312" w:hAnsi="Times New Roman" w:eastAsia="仿宋_GB2312" w:cs="仿宋_GB2312"/>
          <w:i w:val="0"/>
          <w:caps w:val="0"/>
          <w:color w:val="000000"/>
          <w:spacing w:val="0"/>
          <w:sz w:val="32"/>
          <w:szCs w:val="32"/>
        </w:rPr>
        <w:t>制度文件</w:t>
      </w:r>
      <w:r>
        <w:rPr>
          <w:rFonts w:hint="default" w:ascii="仿宋_GB2312" w:hAnsi="微软雅黑" w:eastAsia="仿宋_GB2312" w:cs="仿宋_GB2312"/>
          <w:i w:val="0"/>
          <w:caps w:val="0"/>
          <w:color w:val="000000"/>
          <w:spacing w:val="0"/>
          <w:sz w:val="32"/>
          <w:szCs w:val="32"/>
        </w:rPr>
        <w:t>和工作</w:t>
      </w:r>
      <w:r>
        <w:rPr>
          <w:rFonts w:hint="default" w:ascii="仿宋_GB2312" w:hAnsi="Times New Roman" w:eastAsia="仿宋_GB2312" w:cs="仿宋_GB2312"/>
          <w:i w:val="0"/>
          <w:caps w:val="0"/>
          <w:color w:val="000000"/>
          <w:spacing w:val="0"/>
          <w:sz w:val="32"/>
          <w:szCs w:val="32"/>
        </w:rPr>
        <w:t>措施，及时落实上级部署工作。</w:t>
      </w:r>
      <w:r>
        <w:rPr>
          <w:rFonts w:hint="eastAsia" w:ascii="仿宋_GB2312" w:eastAsia="仿宋_GB2312" w:cs="仿宋_GB2312"/>
          <w:color w:val="000000"/>
          <w:spacing w:val="0"/>
          <w:sz w:val="32"/>
          <w:szCs w:val="32"/>
          <w:lang w:eastAsia="zh-CN"/>
        </w:rPr>
        <w:t>制定印发了</w:t>
      </w:r>
      <w:r>
        <w:rPr>
          <w:rFonts w:hint="default" w:ascii="仿宋_GB2312" w:hAnsi="Times New Roman" w:eastAsia="仿宋_GB2312" w:cs="仿宋_GB2312"/>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lang w:eastAsia="zh-CN"/>
        </w:rPr>
        <w:t>周村区住房和城乡建设局关于进一步加强政府信息公开管理工作的意见</w:t>
      </w:r>
      <w:r>
        <w:rPr>
          <w:rFonts w:hint="default" w:ascii="仿宋_GB2312" w:hAnsi="Times New Roman" w:eastAsia="仿宋_GB2312" w:cs="仿宋_GB2312"/>
          <w:i w:val="0"/>
          <w:caps w:val="0"/>
          <w:color w:val="000000"/>
          <w:spacing w:val="0"/>
          <w:sz w:val="32"/>
          <w:szCs w:val="32"/>
        </w:rPr>
        <w:t>》，进一步明确府信息公开的内容、时限、形式、主体等要素</w:t>
      </w:r>
      <w:r>
        <w:rPr>
          <w:rFonts w:hint="default" w:ascii="仿宋_GB2312" w:hAnsi="微软雅黑" w:eastAsia="仿宋_GB2312" w:cs="仿宋_GB2312"/>
          <w:i w:val="0"/>
          <w:caps w:val="0"/>
          <w:color w:val="000000"/>
          <w:spacing w:val="0"/>
          <w:sz w:val="32"/>
          <w:szCs w:val="32"/>
        </w:rPr>
        <w:t>，督促有关科室履行信息公开职责</w:t>
      </w:r>
      <w:r>
        <w:rPr>
          <w:rFonts w:hint="default" w:ascii="仿宋_GB2312" w:hAnsi="Times New Roman" w:eastAsia="仿宋_GB2312" w:cs="仿宋_GB2312"/>
          <w:i w:val="0"/>
          <w:caps w:val="0"/>
          <w:color w:val="000000"/>
          <w:spacing w:val="0"/>
          <w:sz w:val="32"/>
          <w:szCs w:val="32"/>
        </w:rPr>
        <w:t>。</w:t>
      </w:r>
      <w:r>
        <w:rPr>
          <w:rFonts w:hint="default" w:ascii="仿宋_GB2312" w:eastAsia="仿宋_GB2312" w:cs="仿宋_GB2312"/>
          <w:color w:val="000000"/>
          <w:spacing w:val="0"/>
          <w:sz w:val="32"/>
          <w:szCs w:val="32"/>
        </w:rPr>
        <w:t>加强信息公开队伍建设</w:t>
      </w:r>
      <w:r>
        <w:rPr>
          <w:rFonts w:hint="eastAsia" w:ascii="仿宋_GB2312" w:eastAsia="仿宋_GB2312" w:cs="仿宋_GB2312"/>
          <w:color w:val="000000"/>
          <w:spacing w:val="0"/>
          <w:sz w:val="32"/>
          <w:szCs w:val="32"/>
          <w:lang w:eastAsia="zh-CN"/>
        </w:rPr>
        <w:t>，</w:t>
      </w:r>
      <w:r>
        <w:rPr>
          <w:rFonts w:hint="default" w:ascii="仿宋_GB2312" w:hAnsi="微软雅黑" w:eastAsia="仿宋_GB2312" w:cs="仿宋_GB2312"/>
          <w:i w:val="0"/>
          <w:caps w:val="0"/>
          <w:color w:val="000000"/>
          <w:spacing w:val="0"/>
          <w:sz w:val="32"/>
          <w:szCs w:val="32"/>
        </w:rPr>
        <w:t>组织培训包括《政府信息公开条例》相关法律法规、政府信息公开答复规范格式、政府信息公开发布保密注意事项等内容。同时，</w:t>
      </w:r>
      <w:r>
        <w:rPr>
          <w:rFonts w:hint="default" w:ascii="仿宋_GB2312" w:hAnsi="Times New Roman" w:eastAsia="仿宋_GB2312" w:cs="仿宋_GB2312"/>
          <w:i w:val="0"/>
          <w:caps w:val="0"/>
          <w:color w:val="000000"/>
          <w:spacing w:val="0"/>
          <w:sz w:val="32"/>
          <w:szCs w:val="32"/>
        </w:rPr>
        <w:t>积极参加区政府组织的政府信息公开工作会议和业务培训</w:t>
      </w:r>
      <w:r>
        <w:rPr>
          <w:rFonts w:hint="default" w:ascii="仿宋_GB2312" w:hAnsi="微软雅黑" w:eastAsia="仿宋_GB2312" w:cs="仿宋_GB2312"/>
          <w:i w:val="0"/>
          <w:caps w:val="0"/>
          <w:color w:val="000000"/>
          <w:spacing w:val="0"/>
          <w:sz w:val="32"/>
          <w:szCs w:val="32"/>
        </w:rPr>
        <w:t>，</w:t>
      </w:r>
      <w:r>
        <w:rPr>
          <w:rFonts w:hint="default" w:ascii="仿宋_GB2312" w:hAnsi="Times New Roman" w:eastAsia="仿宋_GB2312" w:cs="仿宋_GB2312"/>
          <w:i w:val="0"/>
          <w:caps w:val="0"/>
          <w:color w:val="000000"/>
          <w:spacing w:val="0"/>
          <w:sz w:val="32"/>
          <w:szCs w:val="32"/>
        </w:rPr>
        <w:t>切实提高对政府信息公开工作的认识水平和工作能力。</w:t>
      </w:r>
      <w:r>
        <w:rPr>
          <w:rFonts w:hint="eastAsia" w:ascii="仿宋_GB2312" w:eastAsia="仿宋_GB2312" w:cs="仿宋_GB2312"/>
          <w:color w:val="000000"/>
          <w:spacing w:val="0"/>
          <w:sz w:val="32"/>
          <w:szCs w:val="32"/>
          <w:lang w:eastAsia="zh-CN"/>
        </w:rPr>
        <w:t>202</w:t>
      </w:r>
      <w:r>
        <w:rPr>
          <w:rFonts w:hint="eastAsia" w:ascii="仿宋_GB2312" w:eastAsia="仿宋_GB2312" w:cs="仿宋_GB2312"/>
          <w:color w:val="000000"/>
          <w:spacing w:val="0"/>
          <w:sz w:val="32"/>
          <w:szCs w:val="32"/>
          <w:lang w:val="en-US" w:eastAsia="zh-CN"/>
        </w:rPr>
        <w:t>5</w:t>
      </w:r>
      <w:r>
        <w:rPr>
          <w:rFonts w:hint="default" w:ascii="仿宋_GB2312" w:eastAsia="仿宋_GB2312" w:cs="仿宋_GB2312"/>
          <w:color w:val="000000"/>
          <w:spacing w:val="0"/>
          <w:sz w:val="32"/>
          <w:szCs w:val="32"/>
        </w:rPr>
        <w:t>年，周村区住房和城乡建设局因政府信息公开工作被提起</w:t>
      </w:r>
      <w:r>
        <w:rPr>
          <w:rFonts w:hint="eastAsia" w:ascii="仿宋_GB2312" w:eastAsia="仿宋_GB2312" w:cs="仿宋_GB2312"/>
          <w:color w:val="000000"/>
          <w:spacing w:val="0"/>
          <w:sz w:val="32"/>
          <w:szCs w:val="32"/>
          <w:lang w:eastAsia="zh-CN"/>
        </w:rPr>
        <w:t>行政复议</w:t>
      </w:r>
      <w:r>
        <w:rPr>
          <w:rFonts w:hint="eastAsia" w:ascii="仿宋_GB2312" w:eastAsia="仿宋_GB2312" w:cs="仿宋_GB2312"/>
          <w:color w:val="000000"/>
          <w:spacing w:val="0"/>
          <w:sz w:val="32"/>
          <w:szCs w:val="32"/>
          <w:lang w:val="en-US" w:eastAsia="zh-CN"/>
        </w:rPr>
        <w:t>1起，</w:t>
      </w:r>
      <w:r>
        <w:rPr>
          <w:rFonts w:hint="default" w:ascii="仿宋_GB2312" w:eastAsia="仿宋_GB2312" w:cs="仿宋_GB2312"/>
          <w:color w:val="000000"/>
          <w:spacing w:val="0"/>
          <w:sz w:val="32"/>
          <w:szCs w:val="32"/>
        </w:rPr>
        <w:t>行政诉讼</w:t>
      </w:r>
      <w:r>
        <w:rPr>
          <w:rFonts w:hint="eastAsia" w:ascii="仿宋_GB2312" w:eastAsia="仿宋_GB2312" w:cs="仿宋_GB2312"/>
          <w:color w:val="000000"/>
          <w:spacing w:val="0"/>
          <w:sz w:val="32"/>
          <w:szCs w:val="32"/>
          <w:lang w:val="en-US" w:eastAsia="zh-CN"/>
        </w:rPr>
        <w:t>1起，全部胜诉</w:t>
      </w:r>
      <w:r>
        <w:rPr>
          <w:rFonts w:hint="default" w:ascii="仿宋_GB2312" w:eastAsia="仿宋_GB2312" w:cs="仿宋_GB2312"/>
          <w:color w:val="000000"/>
          <w:spacing w:val="0"/>
          <w:sz w:val="32"/>
          <w:szCs w:val="32"/>
        </w:rPr>
        <w:t>。</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黑体" w:hAnsi="宋体" w:eastAsia="黑体" w:cs="黑体"/>
          <w:color w:val="000000"/>
          <w:spacing w:val="0"/>
          <w:sz w:val="32"/>
          <w:szCs w:val="32"/>
        </w:rPr>
        <w:t>二、主动公开信息情况</w:t>
      </w:r>
    </w:p>
    <w:tbl>
      <w:tblPr>
        <w:tblStyle w:val="6"/>
        <w:tblW w:w="8169" w:type="dxa"/>
        <w:tblInd w:w="135" w:type="dxa"/>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042"/>
        <w:gridCol w:w="2042"/>
        <w:gridCol w:w="2042"/>
        <w:gridCol w:w="2043"/>
      </w:tblGrid>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567" w:hRule="atLeast"/>
        </w:trPr>
        <w:tc>
          <w:tcPr>
            <w:tcW w:w="8169" w:type="dxa"/>
            <w:gridSpan w:val="4"/>
            <w:tcBorders>
              <w:top w:val="single" w:color="000000" w:sz="8" w:space="0"/>
              <w:left w:val="single" w:color="000000" w:sz="8" w:space="0"/>
              <w:bottom w:val="single" w:color="000000" w:sz="8" w:space="0"/>
              <w:right w:val="single" w:color="000000" w:sz="8" w:space="0"/>
            </w:tcBorders>
            <w:shd w:val="clear" w:color="auto" w:fill="C5D9F0"/>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3445" w:right="3429"/>
              <w:jc w:val="center"/>
              <w:textAlignment w:val="auto"/>
            </w:pPr>
            <w:r>
              <w:rPr>
                <w:rFonts w:hint="eastAsia" w:ascii="黑体" w:hAnsi="宋体" w:eastAsia="黑体" w:cs="黑体"/>
                <w:color w:val="000000"/>
                <w:spacing w:val="0"/>
                <w:sz w:val="21"/>
                <w:szCs w:val="21"/>
              </w:rPr>
              <w:t>第二十条第（一）项</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664"/>
              <w:jc w:val="right"/>
              <w:textAlignment w:val="auto"/>
            </w:pPr>
            <w:r>
              <w:rPr>
                <w:rFonts w:hint="default" w:ascii="仿宋_GB2312" w:hAnsi="-apple-system" w:eastAsia="仿宋_GB2312" w:cs="仿宋_GB2312"/>
                <w:color w:val="000000"/>
                <w:spacing w:val="0"/>
                <w:sz w:val="21"/>
                <w:szCs w:val="21"/>
              </w:rPr>
              <w:t>信息内容</w:t>
            </w:r>
          </w:p>
        </w:tc>
        <w:tc>
          <w:tcPr>
            <w:tcW w:w="204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472"/>
              <w:textAlignment w:val="auto"/>
            </w:pPr>
            <w:r>
              <w:rPr>
                <w:rFonts w:hint="default" w:ascii="仿宋_GB2312" w:hAnsi="-apple-system" w:eastAsia="仿宋_GB2312" w:cs="仿宋_GB2312"/>
                <w:color w:val="000000"/>
                <w:spacing w:val="0"/>
                <w:sz w:val="21"/>
                <w:szCs w:val="21"/>
              </w:rPr>
              <w:t>本年制发件数</w:t>
            </w:r>
          </w:p>
        </w:tc>
        <w:tc>
          <w:tcPr>
            <w:tcW w:w="204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472"/>
              <w:textAlignment w:val="auto"/>
            </w:pPr>
            <w:r>
              <w:rPr>
                <w:rFonts w:hint="default" w:ascii="仿宋_GB2312" w:hAnsi="-apple-system" w:eastAsia="仿宋_GB2312" w:cs="仿宋_GB2312"/>
                <w:color w:val="000000"/>
                <w:spacing w:val="0"/>
                <w:sz w:val="21"/>
                <w:szCs w:val="21"/>
              </w:rPr>
              <w:t>本年废止件数</w:t>
            </w:r>
          </w:p>
        </w:tc>
        <w:tc>
          <w:tcPr>
            <w:tcW w:w="204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471"/>
              <w:textAlignment w:val="auto"/>
            </w:pPr>
            <w:r>
              <w:rPr>
                <w:rFonts w:hint="default" w:ascii="仿宋_GB2312" w:hAnsi="-apple-system" w:eastAsia="仿宋_GB2312" w:cs="仿宋_GB2312"/>
                <w:color w:val="000000"/>
                <w:spacing w:val="0"/>
                <w:sz w:val="21"/>
                <w:szCs w:val="21"/>
              </w:rPr>
              <w:t>现行有效件数</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规章</w:t>
            </w:r>
          </w:p>
        </w:tc>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c>
          <w:tcPr>
            <w:tcW w:w="2043"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行政规范性文件</w:t>
            </w:r>
          </w:p>
        </w:tc>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val="en-US" w:eastAsia="zh-CN"/>
              </w:rPr>
            </w:pPr>
            <w:r>
              <w:rPr>
                <w:rFonts w:hint="eastAsia"/>
                <w:lang w:val="en-US" w:eastAsia="zh-CN"/>
              </w:rPr>
              <w:t>0</w:t>
            </w:r>
          </w:p>
        </w:tc>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c>
          <w:tcPr>
            <w:tcW w:w="2043"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2"/>
                <w:szCs w:val="22"/>
                <w:lang w:val="en-US" w:eastAsia="zh-CN"/>
              </w:rPr>
              <w:t>4</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8169" w:type="dxa"/>
            <w:gridSpan w:val="4"/>
            <w:tcBorders>
              <w:top w:val="nil"/>
              <w:left w:val="single" w:color="CCCCCC" w:sz="8" w:space="0"/>
              <w:bottom w:val="single" w:color="CCCCCC" w:sz="8" w:space="0"/>
              <w:right w:val="single" w:color="CCCCCC" w:sz="8" w:space="0"/>
            </w:tcBorders>
            <w:shd w:val="clear" w:color="auto" w:fill="C5D9F0"/>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3445" w:right="3429"/>
              <w:jc w:val="center"/>
              <w:textAlignment w:val="auto"/>
            </w:pPr>
            <w:r>
              <w:rPr>
                <w:rFonts w:hint="eastAsia" w:ascii="黑体" w:hAnsi="宋体" w:eastAsia="黑体" w:cs="黑体"/>
                <w:color w:val="000000"/>
                <w:spacing w:val="0"/>
                <w:sz w:val="21"/>
                <w:szCs w:val="21"/>
              </w:rPr>
              <w:t>第二十条第（五）项</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664"/>
              <w:jc w:val="right"/>
              <w:textAlignment w:val="auto"/>
            </w:pPr>
            <w:r>
              <w:rPr>
                <w:rFonts w:hint="default" w:ascii="仿宋_GB2312" w:hAnsi="-apple-system" w:eastAsia="仿宋_GB2312" w:cs="仿宋_GB2312"/>
                <w:color w:val="000000"/>
                <w:spacing w:val="0"/>
                <w:sz w:val="21"/>
                <w:szCs w:val="21"/>
              </w:rPr>
              <w:t>信息内容</w:t>
            </w:r>
          </w:p>
        </w:tc>
        <w:tc>
          <w:tcPr>
            <w:tcW w:w="6127"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448" w:right="2430"/>
              <w:jc w:val="center"/>
              <w:textAlignment w:val="auto"/>
            </w:pPr>
            <w:r>
              <w:rPr>
                <w:rFonts w:hint="default" w:ascii="仿宋_GB2312" w:hAnsi="-apple-system" w:eastAsia="仿宋_GB2312" w:cs="仿宋_GB2312"/>
                <w:color w:val="000000"/>
                <w:spacing w:val="0"/>
                <w:sz w:val="21"/>
                <w:szCs w:val="21"/>
              </w:rPr>
              <w:t>本年处理决定数量</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行政许可</w:t>
            </w:r>
          </w:p>
        </w:tc>
        <w:tc>
          <w:tcPr>
            <w:tcW w:w="6127" w:type="dxa"/>
            <w:gridSpan w:val="3"/>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2"/>
                <w:szCs w:val="22"/>
                <w:lang w:val="en-US" w:eastAsia="zh-CN"/>
              </w:rPr>
              <w:t>64</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8169" w:type="dxa"/>
            <w:gridSpan w:val="4"/>
            <w:tcBorders>
              <w:top w:val="nil"/>
              <w:left w:val="single" w:color="CCCCCC" w:sz="8" w:space="0"/>
              <w:bottom w:val="single" w:color="CCCCCC" w:sz="8" w:space="0"/>
              <w:right w:val="single" w:color="CCCCCC" w:sz="8" w:space="0"/>
            </w:tcBorders>
            <w:shd w:val="clear" w:color="auto" w:fill="C5D9F0"/>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3445" w:right="3429"/>
              <w:jc w:val="center"/>
              <w:textAlignment w:val="auto"/>
            </w:pPr>
            <w:r>
              <w:rPr>
                <w:rFonts w:hint="eastAsia" w:ascii="黑体" w:hAnsi="宋体" w:eastAsia="黑体" w:cs="黑体"/>
                <w:color w:val="000000"/>
                <w:spacing w:val="0"/>
                <w:sz w:val="21"/>
                <w:szCs w:val="21"/>
              </w:rPr>
              <w:t>第二十条第（六）项</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664"/>
              <w:jc w:val="right"/>
              <w:textAlignment w:val="auto"/>
            </w:pPr>
            <w:r>
              <w:rPr>
                <w:rFonts w:hint="default" w:ascii="仿宋_GB2312" w:hAnsi="-apple-system" w:eastAsia="仿宋_GB2312" w:cs="仿宋_GB2312"/>
                <w:color w:val="000000"/>
                <w:spacing w:val="0"/>
                <w:sz w:val="21"/>
                <w:szCs w:val="21"/>
              </w:rPr>
              <w:t>信息内容</w:t>
            </w:r>
          </w:p>
        </w:tc>
        <w:tc>
          <w:tcPr>
            <w:tcW w:w="6127"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448" w:right="2430"/>
              <w:jc w:val="center"/>
              <w:textAlignment w:val="auto"/>
            </w:pPr>
            <w:r>
              <w:rPr>
                <w:rFonts w:hint="default" w:ascii="仿宋_GB2312" w:hAnsi="-apple-system" w:eastAsia="仿宋_GB2312" w:cs="仿宋_GB2312"/>
                <w:color w:val="000000"/>
                <w:spacing w:val="0"/>
                <w:sz w:val="21"/>
                <w:szCs w:val="21"/>
              </w:rPr>
              <w:t>本年处理决定数量</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行政处罚</w:t>
            </w:r>
          </w:p>
        </w:tc>
        <w:tc>
          <w:tcPr>
            <w:tcW w:w="6127" w:type="dxa"/>
            <w:gridSpan w:val="3"/>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2"/>
                <w:szCs w:val="22"/>
                <w:lang w:val="en-US" w:eastAsia="zh-CN"/>
              </w:rPr>
              <w:t>0</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行政强制</w:t>
            </w:r>
          </w:p>
        </w:tc>
        <w:tc>
          <w:tcPr>
            <w:tcW w:w="6127" w:type="dxa"/>
            <w:gridSpan w:val="3"/>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2"/>
                <w:szCs w:val="22"/>
              </w:rPr>
              <w:t>0</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8169" w:type="dxa"/>
            <w:gridSpan w:val="4"/>
            <w:tcBorders>
              <w:top w:val="nil"/>
              <w:left w:val="single" w:color="CCCCCC" w:sz="8" w:space="0"/>
              <w:bottom w:val="single" w:color="CCCCCC" w:sz="8" w:space="0"/>
              <w:right w:val="single" w:color="CCCCCC" w:sz="8" w:space="0"/>
            </w:tcBorders>
            <w:shd w:val="clear" w:color="auto" w:fill="C5D9F0"/>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3445" w:right="3429"/>
              <w:jc w:val="center"/>
              <w:textAlignment w:val="auto"/>
            </w:pPr>
            <w:r>
              <w:rPr>
                <w:rFonts w:hint="eastAsia" w:ascii="黑体" w:hAnsi="宋体" w:eastAsia="黑体" w:cs="黑体"/>
                <w:color w:val="000000"/>
                <w:spacing w:val="0"/>
                <w:sz w:val="21"/>
                <w:szCs w:val="21"/>
              </w:rPr>
              <w:t>第二十条第（八）项</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6"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664"/>
              <w:jc w:val="right"/>
              <w:textAlignment w:val="auto"/>
            </w:pPr>
            <w:r>
              <w:rPr>
                <w:rFonts w:hint="default" w:ascii="仿宋_GB2312" w:hAnsi="-apple-system" w:eastAsia="仿宋_GB2312" w:cs="仿宋_GB2312"/>
                <w:color w:val="000000"/>
                <w:spacing w:val="0"/>
                <w:sz w:val="21"/>
                <w:szCs w:val="21"/>
              </w:rPr>
              <w:t>信息内容</w:t>
            </w:r>
          </w:p>
        </w:tc>
        <w:tc>
          <w:tcPr>
            <w:tcW w:w="6127"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943"/>
              <w:textAlignment w:val="auto"/>
            </w:pPr>
            <w:r>
              <w:rPr>
                <w:rFonts w:hint="default" w:ascii="仿宋_GB2312" w:hAnsi="-apple-system" w:eastAsia="仿宋_GB2312" w:cs="仿宋_GB2312"/>
                <w:color w:val="000000"/>
                <w:spacing w:val="0"/>
                <w:sz w:val="21"/>
                <w:szCs w:val="21"/>
              </w:rPr>
              <w:t>本年收费金额（单位：万元）</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trPr>
        <w:tc>
          <w:tcPr>
            <w:tcW w:w="204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textAlignment w:val="auto"/>
            </w:pPr>
            <w:r>
              <w:rPr>
                <w:rFonts w:hint="default" w:ascii="仿宋_GB2312" w:hAnsi="-apple-system" w:eastAsia="仿宋_GB2312" w:cs="仿宋_GB2312"/>
                <w:color w:val="000000"/>
                <w:spacing w:val="0"/>
                <w:sz w:val="21"/>
                <w:szCs w:val="21"/>
              </w:rPr>
              <w:t>行政事业性收费</w:t>
            </w:r>
          </w:p>
        </w:tc>
        <w:tc>
          <w:tcPr>
            <w:tcW w:w="6127" w:type="dxa"/>
            <w:gridSpan w:val="3"/>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val="en-US" w:eastAsia="zh-CN"/>
              </w:rPr>
            </w:pPr>
            <w:r>
              <w:rPr>
                <w:rFonts w:hint="eastAsia"/>
                <w:lang w:val="en-US" w:eastAsia="zh-CN"/>
              </w:rPr>
              <w:t>16029.44</w:t>
            </w:r>
          </w:p>
        </w:tc>
      </w:tr>
    </w:tbl>
    <w:p>
      <w:pPr>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6"/>
        <w:tblW w:w="95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tcMar>
              <w:left w:w="108" w:type="dxa"/>
              <w:right w:w="108" w:type="dxa"/>
            </w:tcMar>
            <w:vAlign w:val="center"/>
          </w:tcPr>
          <w:p>
            <w:pPr>
              <w:jc w:val="center"/>
              <w:rPr>
                <w:rFonts w:ascii="仿宋_GB2312" w:hAnsi="Times New Roman" w:eastAsia="仿宋_GB2312"/>
                <w:szCs w:val="21"/>
              </w:rPr>
            </w:pPr>
          </w:p>
        </w:tc>
        <w:tc>
          <w:tcPr>
            <w:tcW w:w="747"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tcMar>
              <w:left w:w="108" w:type="dxa"/>
              <w:right w:w="108" w:type="dxa"/>
            </w:tcMar>
            <w:vAlign w:val="center"/>
          </w:tcPr>
          <w:p>
            <w:pPr>
              <w:jc w:val="center"/>
              <w:rPr>
                <w:rFonts w:ascii="仿宋_GB2312" w:hAnsi="Times New Roman" w:eastAsia="仿宋_GB2312"/>
                <w:szCs w:val="21"/>
              </w:rPr>
            </w:pPr>
          </w:p>
        </w:tc>
        <w:tc>
          <w:tcPr>
            <w:tcW w:w="747" w:type="dxa"/>
            <w:vMerge w:val="continue"/>
            <w:tcMar>
              <w:left w:w="108" w:type="dxa"/>
              <w:right w:w="108" w:type="dxa"/>
            </w:tcMar>
            <w:vAlign w:val="center"/>
          </w:tcPr>
          <w:p>
            <w:pPr>
              <w:jc w:val="center"/>
              <w:rPr>
                <w:rFonts w:ascii="黑体" w:hAnsi="黑体" w:eastAsia="黑体"/>
                <w:szCs w:val="21"/>
              </w:rPr>
            </w:pPr>
          </w:p>
        </w:tc>
        <w:tc>
          <w:tcPr>
            <w:tcW w:w="540" w:type="dxa"/>
            <w:gridSpan w:val="2"/>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3" w:name="_Hlk66973412"/>
            <w:r>
              <w:rPr>
                <w:rFonts w:hint="eastAsia" w:ascii="黑体" w:hAnsi="黑体" w:eastAsia="黑体"/>
                <w:kern w:val="0"/>
                <w:szCs w:val="21"/>
              </w:rPr>
              <w:t>本年新收政府信息公开申请数量</w:t>
            </w:r>
            <w:bookmarkEnd w:id="3"/>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24</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8</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3</w:t>
            </w:r>
          </w:p>
        </w:tc>
        <w:tc>
          <w:tcPr>
            <w:tcW w:w="53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4677" w:type="dxa"/>
            <w:gridSpan w:val="2"/>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4" w:name="_Hlk66973981"/>
            <w:r>
              <w:rPr>
                <w:rFonts w:hint="eastAsia" w:ascii="黑体" w:hAnsi="黑体" w:eastAsia="黑体"/>
                <w:kern w:val="0"/>
                <w:szCs w:val="21"/>
              </w:rPr>
              <w:t>区分处理的，只计这一情形，不计其他情形</w:t>
            </w:r>
            <w:bookmarkEnd w:id="4"/>
            <w:r>
              <w:rPr>
                <w:rFonts w:hint="eastAsia" w:ascii="黑体" w:hAnsi="黑体" w:eastAsia="黑体"/>
                <w:kern w:val="0"/>
                <w:szCs w:val="21"/>
              </w:rPr>
              <w:t>）</w:t>
            </w:r>
          </w:p>
        </w:tc>
        <w:tc>
          <w:tcPr>
            <w:tcW w:w="752"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5" w:name="_Hlk66974104"/>
            <w:r>
              <w:rPr>
                <w:rFonts w:hint="eastAsia" w:ascii="仿宋_GB2312" w:hAnsi="黑体" w:eastAsia="仿宋_GB2312"/>
                <w:kern w:val="0"/>
                <w:szCs w:val="21"/>
              </w:rPr>
              <w:t>其他法律行政法规禁止公开</w:t>
            </w:r>
            <w:bookmarkEnd w:id="5"/>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6" w:name="_Hlk66974290"/>
            <w:r>
              <w:rPr>
                <w:rFonts w:hint="eastAsia" w:ascii="仿宋_GB2312" w:hAnsi="黑体" w:eastAsia="仿宋_GB2312"/>
                <w:kern w:val="0"/>
                <w:szCs w:val="21"/>
              </w:rPr>
              <w:t>保护第三方合法权益</w:t>
            </w:r>
            <w:bookmarkEnd w:id="6"/>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7" w:name="_Hlk66974555"/>
            <w:r>
              <w:rPr>
                <w:rFonts w:hint="eastAsia" w:ascii="仿宋_GB2312" w:hAnsi="黑体" w:eastAsia="仿宋_GB2312"/>
                <w:kern w:val="0"/>
                <w:szCs w:val="21"/>
              </w:rPr>
              <w:t>属于四类过程性信息</w:t>
            </w:r>
            <w:bookmarkEnd w:id="7"/>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8" w:name="_Hlk66975211"/>
            <w:r>
              <w:rPr>
                <w:rFonts w:hint="eastAsia" w:ascii="仿宋_GB2312" w:hAnsi="黑体" w:eastAsia="仿宋_GB2312"/>
                <w:kern w:val="0"/>
                <w:szCs w:val="21"/>
              </w:rPr>
              <w:t>属于行政查询事项</w:t>
            </w:r>
            <w:bookmarkEnd w:id="8"/>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11</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9" w:name="_Hlk66975392"/>
            <w:r>
              <w:rPr>
                <w:rFonts w:hint="eastAsia" w:ascii="仿宋_GB2312" w:hAnsi="黑体" w:eastAsia="仿宋_GB2312"/>
                <w:kern w:val="0"/>
                <w:szCs w:val="21"/>
              </w:rPr>
              <w:t>没有现成信息需要另行制作</w:t>
            </w:r>
            <w:bookmarkEnd w:id="9"/>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ind w:left="-107" w:leftChars="-51"/>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10" w:name="_Hlk66975466"/>
            <w:r>
              <w:rPr>
                <w:rFonts w:hint="eastAsia" w:ascii="仿宋_GB2312" w:hAnsi="黑体" w:eastAsia="仿宋_GB2312"/>
                <w:kern w:val="0"/>
                <w:szCs w:val="21"/>
              </w:rPr>
              <w:t>补正后申请内容仍不明确</w:t>
            </w:r>
            <w:bookmarkEnd w:id="10"/>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11" w:name="_Hlk66975537"/>
            <w:r>
              <w:rPr>
                <w:rFonts w:hint="eastAsia" w:ascii="仿宋_GB2312" w:hAnsi="黑体" w:eastAsia="仿宋_GB2312"/>
                <w:kern w:val="0"/>
                <w:szCs w:val="21"/>
              </w:rPr>
              <w:t>信访举报投诉类申请</w:t>
            </w:r>
            <w:bookmarkEnd w:id="11"/>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1</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spacing w:line="200" w:lineRule="exact"/>
              <w:rPr>
                <w:rFonts w:ascii="黑体" w:hAnsi="黑体" w:eastAsia="黑体"/>
                <w:szCs w:val="21"/>
              </w:rPr>
            </w:pPr>
          </w:p>
        </w:tc>
        <w:tc>
          <w:tcPr>
            <w:tcW w:w="2976" w:type="dxa"/>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restart"/>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6" w:type="dxa"/>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1701" w:type="dxa"/>
            <w:vMerge w:val="continue"/>
            <w:tcMar>
              <w:left w:w="108" w:type="dxa"/>
              <w:right w:w="108" w:type="dxa"/>
            </w:tcMar>
            <w:vAlign w:val="center"/>
          </w:tcPr>
          <w:p>
            <w:pPr>
              <w:widowControl/>
              <w:spacing w:line="300" w:lineRule="exact"/>
              <w:rPr>
                <w:rFonts w:ascii="黑体" w:hAnsi="黑体" w:eastAsia="黑体"/>
                <w:kern w:val="0"/>
                <w:szCs w:val="21"/>
              </w:rPr>
            </w:pPr>
          </w:p>
        </w:tc>
        <w:tc>
          <w:tcPr>
            <w:tcW w:w="2976" w:type="dxa"/>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4</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rPr>
                <w:rFonts w:ascii="黑体" w:hAnsi="黑体" w:eastAsia="黑体"/>
                <w:szCs w:val="21"/>
              </w:rPr>
            </w:pPr>
          </w:p>
        </w:tc>
        <w:tc>
          <w:tcPr>
            <w:tcW w:w="4677" w:type="dxa"/>
            <w:gridSpan w:val="2"/>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25</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3</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textAlignment w:val="auto"/>
      </w:pPr>
      <w:r>
        <w:rPr>
          <w:rFonts w:hint="eastAsia" w:ascii="黑体" w:hAnsi="宋体" w:eastAsia="黑体" w:cs="黑体"/>
          <w:color w:val="000000"/>
          <w:spacing w:val="0"/>
          <w:sz w:val="32"/>
          <w:szCs w:val="32"/>
        </w:rPr>
        <w:t>四、因政府信息公开工作被申请行政复议、提起行政诉讼情况</w:t>
      </w:r>
    </w:p>
    <w:tbl>
      <w:tblPr>
        <w:tblStyle w:val="6"/>
        <w:tblW w:w="9071" w:type="dxa"/>
        <w:tblInd w:w="135" w:type="dxa"/>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4"/>
        <w:gridCol w:w="604"/>
        <w:gridCol w:w="604"/>
        <w:gridCol w:w="604"/>
        <w:gridCol w:w="660"/>
        <w:gridCol w:w="550"/>
        <w:gridCol w:w="605"/>
        <w:gridCol w:w="605"/>
        <w:gridCol w:w="605"/>
        <w:gridCol w:w="605"/>
        <w:gridCol w:w="605"/>
        <w:gridCol w:w="605"/>
        <w:gridCol w:w="605"/>
        <w:gridCol w:w="602"/>
        <w:gridCol w:w="608"/>
      </w:tblGrid>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7" w:hRule="atLeast"/>
        </w:trPr>
        <w:tc>
          <w:tcPr>
            <w:tcW w:w="3076"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116" w:right="1098"/>
              <w:jc w:val="center"/>
              <w:textAlignment w:val="auto"/>
            </w:pPr>
            <w:r>
              <w:rPr>
                <w:rFonts w:hint="eastAsia" w:ascii="黑体" w:hAnsi="宋体" w:eastAsia="黑体" w:cs="黑体"/>
                <w:color w:val="000000"/>
                <w:spacing w:val="0"/>
                <w:sz w:val="20"/>
                <w:szCs w:val="20"/>
              </w:rPr>
              <w:t>行政复议</w:t>
            </w:r>
          </w:p>
        </w:tc>
        <w:tc>
          <w:tcPr>
            <w:tcW w:w="5995" w:type="dxa"/>
            <w:gridSpan w:val="10"/>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575" w:right="2561"/>
              <w:jc w:val="center"/>
              <w:textAlignment w:val="auto"/>
            </w:pPr>
            <w:r>
              <w:rPr>
                <w:rFonts w:hint="eastAsia" w:ascii="黑体" w:hAnsi="宋体" w:eastAsia="黑体" w:cs="黑体"/>
                <w:color w:val="000000"/>
                <w:spacing w:val="0"/>
                <w:sz w:val="20"/>
                <w:szCs w:val="20"/>
              </w:rPr>
              <w:t>行政诉讼</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546" w:hRule="atLeast"/>
        </w:trPr>
        <w:tc>
          <w:tcPr>
            <w:tcW w:w="604" w:type="dxa"/>
            <w:vMerge w:val="restart"/>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5"/>
                <w:szCs w:val="25"/>
              </w:rPr>
              <w:t>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11" w:right="71"/>
              <w:textAlignment w:val="auto"/>
            </w:pPr>
            <w:r>
              <w:rPr>
                <w:rFonts w:hint="eastAsia" w:ascii="黑体" w:hAnsi="宋体" w:eastAsia="黑体" w:cs="黑体"/>
                <w:color w:val="000000"/>
                <w:spacing w:val="0"/>
                <w:sz w:val="20"/>
                <w:szCs w:val="20"/>
              </w:rPr>
              <w:t>结果维持</w:t>
            </w:r>
          </w:p>
        </w:tc>
        <w:tc>
          <w:tcPr>
            <w:tcW w:w="604" w:type="dxa"/>
            <w:vMerge w:val="restart"/>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5"/>
                <w:szCs w:val="25"/>
              </w:rPr>
              <w:t>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46" w:right="37"/>
              <w:textAlignment w:val="auto"/>
            </w:pPr>
            <w:r>
              <w:rPr>
                <w:rFonts w:hint="eastAsia" w:ascii="黑体" w:hAnsi="宋体" w:eastAsia="黑体" w:cs="黑体"/>
                <w:color w:val="000000"/>
                <w:spacing w:val="0"/>
                <w:sz w:val="20"/>
                <w:szCs w:val="20"/>
              </w:rPr>
              <w:t>结果纠正</w:t>
            </w:r>
          </w:p>
        </w:tc>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5"/>
                <w:szCs w:val="25"/>
              </w:rPr>
              <w:t>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8" w:right="75"/>
              <w:textAlignment w:val="auto"/>
            </w:pPr>
            <w:r>
              <w:rPr>
                <w:rFonts w:hint="eastAsia" w:ascii="黑体" w:hAnsi="宋体" w:eastAsia="黑体" w:cs="黑体"/>
                <w:color w:val="000000"/>
                <w:spacing w:val="0"/>
                <w:sz w:val="20"/>
                <w:szCs w:val="20"/>
              </w:rPr>
              <w:t>其他结果</w:t>
            </w:r>
          </w:p>
        </w:tc>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5"/>
                <w:szCs w:val="25"/>
              </w:rPr>
              <w:t>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2" w:right="81"/>
              <w:textAlignment w:val="auto"/>
            </w:pPr>
            <w:r>
              <w:rPr>
                <w:rFonts w:hint="eastAsia" w:ascii="黑体" w:hAnsi="宋体" w:eastAsia="黑体" w:cs="黑体"/>
                <w:color w:val="000000"/>
                <w:spacing w:val="0"/>
                <w:sz w:val="20"/>
                <w:szCs w:val="20"/>
              </w:rPr>
              <w:t>尚未审结</w:t>
            </w:r>
          </w:p>
        </w:tc>
        <w:tc>
          <w:tcPr>
            <w:tcW w:w="660"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textAlignment w:val="auto"/>
            </w:pPr>
            <w:r>
              <w:rPr>
                <w:rFonts w:hint="default" w:ascii="方正小标宋简体" w:hAnsi="方正小标宋简体" w:eastAsia="方正小标宋简体" w:cs="方正小标宋简体"/>
                <w:color w:val="000000"/>
                <w:spacing w:val="0"/>
                <w:sz w:val="26"/>
                <w:szCs w:val="26"/>
              </w:rPr>
              <w:t>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28" w:right="210"/>
              <w:textAlignment w:val="auto"/>
            </w:pPr>
            <w:r>
              <w:rPr>
                <w:rFonts w:hint="eastAsia" w:ascii="黑体" w:hAnsi="宋体" w:eastAsia="黑体" w:cs="黑体"/>
                <w:color w:val="000000"/>
                <w:spacing w:val="0"/>
                <w:sz w:val="20"/>
                <w:szCs w:val="20"/>
              </w:rPr>
              <w:t>总计</w:t>
            </w:r>
          </w:p>
        </w:tc>
        <w:tc>
          <w:tcPr>
            <w:tcW w:w="2970"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683"/>
              <w:textAlignment w:val="auto"/>
            </w:pPr>
            <w:r>
              <w:rPr>
                <w:rFonts w:hint="eastAsia" w:ascii="黑体" w:hAnsi="宋体" w:eastAsia="黑体" w:cs="黑体"/>
                <w:color w:val="000000"/>
                <w:spacing w:val="0"/>
                <w:sz w:val="20"/>
                <w:szCs w:val="20"/>
              </w:rPr>
              <w:t>未经复议直接起诉</w:t>
            </w:r>
          </w:p>
        </w:tc>
        <w:tc>
          <w:tcPr>
            <w:tcW w:w="3025"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13"/>
              <w:textAlignment w:val="auto"/>
            </w:pPr>
            <w:r>
              <w:rPr>
                <w:rFonts w:hint="eastAsia" w:ascii="黑体" w:hAnsi="宋体" w:eastAsia="黑体" w:cs="黑体"/>
                <w:color w:val="000000"/>
                <w:spacing w:val="0"/>
                <w:sz w:val="20"/>
                <w:szCs w:val="20"/>
              </w:rPr>
              <w:t>复议后起诉</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906" w:hRule="atLeast"/>
        </w:trPr>
        <w:tc>
          <w:tcPr>
            <w:tcW w:w="604" w:type="dxa"/>
            <w:vMerge w:val="continue"/>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604" w:type="dxa"/>
            <w:vMerge w:val="continue"/>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660"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ageBreakBefore w:val="0"/>
              <w:kinsoku/>
              <w:overflowPunct/>
              <w:topLinePunct w:val="0"/>
              <w:autoSpaceDE/>
              <w:autoSpaceDN/>
              <w:bidi w:val="0"/>
              <w:adjustRightInd/>
              <w:snapToGrid/>
              <w:spacing w:beforeAutospacing="0" w:afterAutospacing="0" w:line="600" w:lineRule="exact"/>
              <w:textAlignment w:val="auto"/>
              <w:rPr>
                <w:rFonts w:hint="default" w:ascii="-apple-system" w:hAnsi="-apple-system" w:eastAsia="-apple-system" w:cs="-apple-system"/>
                <w:sz w:val="24"/>
                <w:szCs w:val="24"/>
              </w:rPr>
            </w:pPr>
          </w:p>
        </w:tc>
        <w:tc>
          <w:tcPr>
            <w:tcW w:w="550"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83" w:right="46"/>
              <w:textAlignment w:val="auto"/>
            </w:pPr>
            <w:r>
              <w:rPr>
                <w:rFonts w:hint="eastAsia" w:ascii="黑体" w:hAnsi="宋体" w:eastAsia="黑体" w:cs="黑体"/>
                <w:color w:val="000000"/>
                <w:spacing w:val="0"/>
                <w:sz w:val="20"/>
                <w:szCs w:val="20"/>
              </w:rPr>
              <w:t>结果维持</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2" w:right="82"/>
              <w:textAlignment w:val="auto"/>
            </w:pPr>
            <w:r>
              <w:rPr>
                <w:rFonts w:hint="eastAsia" w:ascii="黑体" w:hAnsi="宋体" w:eastAsia="黑体" w:cs="黑体"/>
                <w:color w:val="000000"/>
                <w:spacing w:val="0"/>
                <w:sz w:val="20"/>
                <w:szCs w:val="20"/>
              </w:rPr>
              <w:t>结果纠正</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07" w:right="77"/>
              <w:textAlignment w:val="auto"/>
            </w:pPr>
            <w:r>
              <w:rPr>
                <w:rFonts w:hint="eastAsia" w:ascii="黑体" w:hAnsi="宋体" w:eastAsia="黑体" w:cs="黑体"/>
                <w:color w:val="000000"/>
                <w:spacing w:val="0"/>
                <w:sz w:val="20"/>
                <w:szCs w:val="20"/>
              </w:rPr>
              <w:t>其他结果</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97" w:right="87"/>
              <w:textAlignment w:val="auto"/>
            </w:pPr>
            <w:r>
              <w:rPr>
                <w:rFonts w:hint="eastAsia" w:ascii="黑体" w:hAnsi="宋体" w:eastAsia="黑体" w:cs="黑体"/>
                <w:color w:val="000000"/>
                <w:spacing w:val="0"/>
                <w:sz w:val="20"/>
                <w:szCs w:val="20"/>
              </w:rPr>
              <w:t>尚未审结</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02" w:right="181"/>
              <w:textAlignment w:val="auto"/>
            </w:pPr>
            <w:r>
              <w:rPr>
                <w:rFonts w:hint="eastAsia" w:ascii="黑体" w:hAnsi="宋体" w:eastAsia="黑体" w:cs="黑体"/>
                <w:color w:val="000000"/>
                <w:spacing w:val="0"/>
                <w:sz w:val="20"/>
                <w:szCs w:val="20"/>
              </w:rPr>
              <w:t>总计</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92" w:right="92"/>
              <w:textAlignment w:val="auto"/>
            </w:pPr>
            <w:r>
              <w:rPr>
                <w:rFonts w:hint="eastAsia" w:ascii="黑体" w:hAnsi="宋体" w:eastAsia="黑体" w:cs="黑体"/>
                <w:color w:val="000000"/>
                <w:spacing w:val="0"/>
                <w:sz w:val="20"/>
                <w:szCs w:val="20"/>
              </w:rPr>
              <w:t>结果维持</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96" w:right="88"/>
              <w:textAlignment w:val="auto"/>
            </w:pPr>
            <w:r>
              <w:rPr>
                <w:rFonts w:hint="eastAsia" w:ascii="黑体" w:hAnsi="宋体" w:eastAsia="黑体" w:cs="黑体"/>
                <w:color w:val="000000"/>
                <w:spacing w:val="0"/>
                <w:sz w:val="20"/>
                <w:szCs w:val="20"/>
              </w:rPr>
              <w:t>结果纠正</w:t>
            </w:r>
          </w:p>
        </w:tc>
        <w:tc>
          <w:tcPr>
            <w:tcW w:w="60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82" w:right="102"/>
              <w:textAlignment w:val="auto"/>
            </w:pPr>
            <w:r>
              <w:rPr>
                <w:rFonts w:hint="eastAsia" w:ascii="黑体" w:hAnsi="宋体" w:eastAsia="黑体" w:cs="黑体"/>
                <w:color w:val="000000"/>
                <w:spacing w:val="0"/>
                <w:sz w:val="20"/>
                <w:szCs w:val="20"/>
              </w:rPr>
              <w:t>其他结果</w:t>
            </w:r>
          </w:p>
        </w:tc>
        <w:tc>
          <w:tcPr>
            <w:tcW w:w="6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122" w:right="63" w:hanging="3"/>
              <w:textAlignment w:val="auto"/>
            </w:pPr>
            <w:r>
              <w:rPr>
                <w:rFonts w:hint="eastAsia" w:ascii="黑体" w:hAnsi="宋体" w:eastAsia="黑体" w:cs="黑体"/>
                <w:color w:val="000000"/>
                <w:spacing w:val="0"/>
                <w:sz w:val="20"/>
                <w:szCs w:val="20"/>
              </w:rPr>
              <w:t>尚未审结</w:t>
            </w:r>
          </w:p>
        </w:tc>
        <w:tc>
          <w:tcPr>
            <w:tcW w:w="608"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203" w:right="183"/>
              <w:textAlignment w:val="auto"/>
            </w:pPr>
            <w:r>
              <w:rPr>
                <w:rFonts w:hint="eastAsia" w:ascii="黑体" w:hAnsi="宋体" w:eastAsia="黑体" w:cs="黑体"/>
                <w:color w:val="000000"/>
                <w:spacing w:val="0"/>
                <w:sz w:val="20"/>
                <w:szCs w:val="20"/>
              </w:rPr>
              <w:t>总计</w:t>
            </w:r>
          </w:p>
        </w:tc>
      </w:tr>
      <w:tr>
        <w:tblPrEx>
          <w:tblBorders>
            <w:top w:val="none" w:color="999999" w:sz="6" w:space="0"/>
            <w:left w:val="none" w:color="999999" w:sz="6" w:space="0"/>
            <w:bottom w:val="none" w:color="999999" w:sz="6" w:space="0"/>
            <w:right w:val="none" w:color="999999" w:sz="6" w:space="0"/>
            <w:insideH w:val="outset" w:color="auto" w:sz="6" w:space="0"/>
            <w:insideV w:val="outset" w:color="auto" w:sz="6" w:space="0"/>
          </w:tblBorders>
          <w:tblLayout w:type="fixed"/>
          <w:tblCellMar>
            <w:top w:w="15" w:type="dxa"/>
            <w:left w:w="15" w:type="dxa"/>
            <w:bottom w:w="15" w:type="dxa"/>
            <w:right w:w="15" w:type="dxa"/>
          </w:tblCellMar>
        </w:tblPrEx>
        <w:trPr>
          <w:trHeight w:val="493" w:hRule="atLeast"/>
        </w:trPr>
        <w:tc>
          <w:tcPr>
            <w:tcW w:w="604"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0</w:t>
            </w:r>
          </w:p>
        </w:tc>
        <w:tc>
          <w:tcPr>
            <w:tcW w:w="604"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4"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4"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60"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0</w:t>
            </w:r>
          </w:p>
        </w:tc>
        <w:tc>
          <w:tcPr>
            <w:tcW w:w="550"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0</w:t>
            </w:r>
          </w:p>
        </w:tc>
        <w:tc>
          <w:tcPr>
            <w:tcW w:w="605"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2"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pPr>
            <w:r>
              <w:rPr>
                <w:rFonts w:hint="default" w:ascii="Times New Roman" w:hAnsi="Times New Roman" w:eastAsia="仿宋_GB2312" w:cs="Times New Roman"/>
                <w:color w:val="000000"/>
                <w:spacing w:val="0"/>
                <w:sz w:val="26"/>
                <w:szCs w:val="26"/>
              </w:rPr>
              <w:t>0</w:t>
            </w:r>
          </w:p>
        </w:tc>
        <w:tc>
          <w:tcPr>
            <w:tcW w:w="608" w:type="dxa"/>
            <w:tcBorders>
              <w:top w:val="nil"/>
              <w:left w:val="single" w:color="CCCCCC" w:sz="8" w:space="0"/>
              <w:bottom w:val="single" w:color="CCCCCC" w:sz="8" w:space="0"/>
              <w:right w:val="single" w:color="CCCCCC" w:sz="8"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eastAsia" w:eastAsiaTheme="minorEastAsia"/>
                <w:lang w:eastAsia="zh-CN"/>
              </w:rPr>
            </w:pPr>
            <w:r>
              <w:rPr>
                <w:rFonts w:hint="eastAsia" w:ascii="Times New Roman" w:hAnsi="Times New Roman" w:eastAsia="仿宋_GB2312" w:cs="Times New Roman"/>
                <w:color w:val="000000"/>
                <w:spacing w:val="0"/>
                <w:sz w:val="26"/>
                <w:szCs w:val="26"/>
                <w:lang w:val="en-US" w:eastAsia="zh-CN"/>
              </w:rPr>
              <w:t>0</w:t>
            </w:r>
          </w:p>
        </w:tc>
      </w:tr>
    </w:tbl>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right="0"/>
        <w:textAlignment w:val="auto"/>
      </w:pPr>
      <w:r>
        <w:rPr>
          <w:rFonts w:hint="eastAsia" w:ascii="黑体" w:hAnsi="宋体" w:eastAsia="黑体" w:cs="黑体"/>
          <w:color w:val="000000"/>
          <w:spacing w:val="0"/>
          <w:sz w:val="32"/>
          <w:szCs w:val="32"/>
        </w:rPr>
        <w:t> </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0"/>
        <w:textAlignment w:val="auto"/>
      </w:pPr>
      <w:r>
        <w:rPr>
          <w:rFonts w:hint="eastAsia" w:ascii="黑体" w:hAnsi="宋体" w:eastAsia="黑体" w:cs="黑体"/>
          <w:color w:val="000000"/>
          <w:spacing w:val="0"/>
          <w:sz w:val="32"/>
          <w:szCs w:val="32"/>
        </w:rPr>
        <w:t>五、政府信息公开工作存在的主要问题及改进情况</w:t>
      </w:r>
    </w:p>
    <w:p>
      <w:pPr>
        <w:pStyle w:val="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40"/>
        <w:textAlignment w:val="auto"/>
        <w:rPr>
          <w:rFonts w:hint="default" w:ascii="仿宋_GB2312" w:hAnsi="微软雅黑" w:eastAsia="仿宋_GB2312" w:cs="仿宋_GB2312"/>
          <w:i w:val="0"/>
          <w:caps w:val="0"/>
          <w:color w:val="000000"/>
          <w:spacing w:val="0"/>
          <w:sz w:val="32"/>
          <w:szCs w:val="32"/>
        </w:rPr>
      </w:pPr>
      <w:r>
        <w:rPr>
          <w:rFonts w:hint="eastAsia" w:ascii="Times New Roman" w:hAnsi="Times New Roman" w:eastAsia="仿宋_GB2312" w:cs="Times New Roman"/>
          <w:color w:val="000000"/>
          <w:spacing w:val="0"/>
          <w:sz w:val="32"/>
          <w:szCs w:val="32"/>
          <w:lang w:eastAsia="zh-CN"/>
        </w:rPr>
        <w:t>2025</w:t>
      </w:r>
      <w:r>
        <w:rPr>
          <w:rFonts w:hint="default" w:ascii="仿宋_GB2312" w:eastAsia="仿宋_GB2312" w:cs="仿宋_GB2312"/>
          <w:color w:val="000000"/>
          <w:spacing w:val="0"/>
          <w:sz w:val="32"/>
          <w:szCs w:val="32"/>
        </w:rPr>
        <w:t>年，周村区住房和城乡建设局在</w:t>
      </w:r>
      <w:r>
        <w:rPr>
          <w:rFonts w:hint="default" w:ascii="仿宋_GB2312" w:hAnsi="Times New Roman" w:eastAsia="仿宋_GB2312" w:cs="仿宋_GB2312"/>
          <w:color w:val="000000"/>
          <w:spacing w:val="0"/>
          <w:sz w:val="32"/>
          <w:szCs w:val="32"/>
        </w:rPr>
        <w:t>政府信息公开工作</w:t>
      </w:r>
      <w:r>
        <w:rPr>
          <w:rFonts w:hint="default" w:ascii="仿宋_GB2312" w:eastAsia="仿宋_GB2312" w:cs="仿宋_GB2312"/>
          <w:color w:val="000000"/>
          <w:spacing w:val="0"/>
          <w:sz w:val="32"/>
          <w:szCs w:val="32"/>
        </w:rPr>
        <w:t>方面</w:t>
      </w:r>
      <w:r>
        <w:rPr>
          <w:rFonts w:hint="default" w:ascii="仿宋_GB2312" w:hAnsi="Times New Roman" w:eastAsia="仿宋_GB2312" w:cs="仿宋_GB2312"/>
          <w:color w:val="000000"/>
          <w:spacing w:val="0"/>
          <w:sz w:val="32"/>
          <w:szCs w:val="32"/>
        </w:rPr>
        <w:t>还存在一些不足</w:t>
      </w:r>
      <w:r>
        <w:rPr>
          <w:rFonts w:hint="eastAsia" w:ascii="仿宋_GB2312" w:hAnsi="Times New Roman" w:eastAsia="仿宋_GB2312" w:cs="仿宋_GB2312"/>
          <w:color w:val="000000"/>
          <w:spacing w:val="0"/>
          <w:sz w:val="32"/>
          <w:szCs w:val="32"/>
          <w:lang w:eastAsia="zh-CN"/>
        </w:rPr>
        <w:t>，</w:t>
      </w:r>
      <w:r>
        <w:rPr>
          <w:rFonts w:hint="default" w:ascii="仿宋_GB2312" w:hAnsi="微软雅黑" w:eastAsia="仿宋_GB2312" w:cs="仿宋_GB2312"/>
          <w:i w:val="0"/>
          <w:caps w:val="0"/>
          <w:color w:val="000000"/>
          <w:spacing w:val="0"/>
          <w:sz w:val="32"/>
          <w:szCs w:val="32"/>
        </w:rPr>
        <w:t>主要问题有以下两个方面：</w:t>
      </w:r>
      <w:r>
        <w:rPr>
          <w:rFonts w:hint="eastAsia" w:ascii="仿宋" w:hAnsi="仿宋" w:eastAsia="仿宋" w:cs="仿宋"/>
          <w:kern w:val="2"/>
          <w:sz w:val="32"/>
          <w:szCs w:val="32"/>
          <w:shd w:val="clear" w:fill="FFFFFF"/>
          <w:lang w:val="en-US" w:eastAsia="zh-CN" w:bidi="ar"/>
        </w:rPr>
        <w:t>一是公开内容需要进一步规范，主动公开的决策、规定、规划、计划、方案等听取公众意见方面还需要进一步加强；二是公开形式的便民性需要进一步提高，公开形式还不够丰富。下一步一是注重加强对政府信息公开的专业性培训，对信息公开的法律法规以及程序步骤进行着重完善；二是不断加强公开力度,大力推进政府信息公开重点工作，重点抓好棚户区改造、老旧小区改造等领域的公开，不断增强工作透明度；三是创新公开形式，丰富公开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2"/>
          <w:szCs w:val="32"/>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仿宋_GB2312" w:cs="Times New Roman"/>
          <w:i w:val="0"/>
          <w:caps w:val="0"/>
          <w:color w:val="000000"/>
          <w:spacing w:val="0"/>
          <w:sz w:val="32"/>
          <w:szCs w:val="32"/>
        </w:rPr>
        <w:t>1.</w:t>
      </w:r>
      <w:r>
        <w:rPr>
          <w:rFonts w:hint="default" w:ascii="仿宋_GB2312" w:hAnsi="微软雅黑" w:eastAsia="仿宋_GB2312" w:cs="仿宋_GB2312"/>
          <w:i w:val="0"/>
          <w:caps w:val="0"/>
          <w:color w:val="000000"/>
          <w:spacing w:val="0"/>
          <w:sz w:val="32"/>
          <w:szCs w:val="32"/>
        </w:rPr>
        <w:t>收取信息处理费情况。本机关</w:t>
      </w:r>
      <w:r>
        <w:rPr>
          <w:rFonts w:hint="default" w:ascii="仿宋_GB2312" w:hAnsi="Times New Roman" w:eastAsia="仿宋_GB2312" w:cs="仿宋_GB2312"/>
          <w:i w:val="0"/>
          <w:caps w:val="0"/>
          <w:color w:val="000000"/>
          <w:spacing w:val="0"/>
          <w:sz w:val="32"/>
          <w:szCs w:val="32"/>
        </w:rPr>
        <w:t>依申请提供政府信息，</w:t>
      </w:r>
      <w:r>
        <w:rPr>
          <w:rFonts w:hint="eastAsia" w:ascii="仿宋_GB2312" w:hAnsi="Times New Roman" w:eastAsia="仿宋_GB2312" w:cs="仿宋_GB2312"/>
          <w:i w:val="0"/>
          <w:caps w:val="0"/>
          <w:color w:val="000000"/>
          <w:spacing w:val="0"/>
          <w:sz w:val="32"/>
          <w:szCs w:val="32"/>
          <w:lang w:eastAsia="zh-CN"/>
        </w:rPr>
        <w:t>在法律规定的合理范围内，</w:t>
      </w:r>
      <w:r>
        <w:rPr>
          <w:rFonts w:hint="default" w:ascii="仿宋_GB2312" w:hAnsi="Times New Roman" w:eastAsia="仿宋_GB2312" w:cs="仿宋_GB2312"/>
          <w:i w:val="0"/>
          <w:caps w:val="0"/>
          <w:color w:val="000000"/>
          <w:spacing w:val="0"/>
          <w:sz w:val="32"/>
          <w:szCs w:val="32"/>
        </w:rPr>
        <w:t>不收取费用。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Times New Roman" w:eastAsia="仿宋_GB2312" w:cs="仿宋_GB2312"/>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2.</w:t>
      </w:r>
      <w:r>
        <w:rPr>
          <w:rFonts w:hint="default" w:ascii="仿宋_GB2312" w:hAnsi="微软雅黑" w:eastAsia="仿宋_GB2312" w:cs="仿宋_GB2312"/>
          <w:i w:val="0"/>
          <w:caps w:val="0"/>
          <w:color w:val="000000"/>
          <w:spacing w:val="0"/>
          <w:sz w:val="32"/>
          <w:szCs w:val="32"/>
        </w:rPr>
        <w:t>人大建议、政协提案办理情况。</w:t>
      </w:r>
      <w:r>
        <w:rPr>
          <w:rFonts w:hint="eastAsia" w:ascii="Times New Roman" w:hAnsi="Times New Roman" w:eastAsia="仿宋_GB2312" w:cs="Times New Roman"/>
          <w:i w:val="0"/>
          <w:caps w:val="0"/>
          <w:color w:val="000000"/>
          <w:spacing w:val="0"/>
          <w:sz w:val="32"/>
          <w:szCs w:val="32"/>
          <w:lang w:eastAsia="zh-CN"/>
        </w:rPr>
        <w:t>2025</w:t>
      </w:r>
      <w:r>
        <w:rPr>
          <w:rFonts w:hint="default" w:ascii="仿宋_GB2312" w:hAnsi="微软雅黑" w:eastAsia="仿宋_GB2312" w:cs="仿宋_GB2312"/>
          <w:i w:val="0"/>
          <w:caps w:val="0"/>
          <w:color w:val="000000"/>
          <w:spacing w:val="0"/>
          <w:sz w:val="32"/>
          <w:szCs w:val="32"/>
        </w:rPr>
        <w:t>年区</w:t>
      </w:r>
      <w:r>
        <w:rPr>
          <w:rFonts w:hint="eastAsia" w:ascii="仿宋_GB2312" w:hAnsi="微软雅黑" w:eastAsia="仿宋_GB2312" w:cs="仿宋_GB2312"/>
          <w:i w:val="0"/>
          <w:caps w:val="0"/>
          <w:color w:val="000000"/>
          <w:spacing w:val="0"/>
          <w:sz w:val="32"/>
          <w:szCs w:val="32"/>
          <w:lang w:eastAsia="zh-CN"/>
        </w:rPr>
        <w:t>住建</w:t>
      </w:r>
      <w:r>
        <w:rPr>
          <w:rFonts w:hint="default" w:ascii="仿宋_GB2312" w:hAnsi="微软雅黑" w:eastAsia="仿宋_GB2312" w:cs="仿宋_GB2312"/>
          <w:i w:val="0"/>
          <w:caps w:val="0"/>
          <w:color w:val="000000"/>
          <w:spacing w:val="0"/>
          <w:sz w:val="32"/>
          <w:szCs w:val="32"/>
        </w:rPr>
        <w:t>局共承担人大建议提案</w:t>
      </w:r>
      <w:r>
        <w:rPr>
          <w:rFonts w:hint="eastAsia" w:ascii="仿宋_GB2312" w:hAnsi="微软雅黑" w:eastAsia="仿宋_GB2312" w:cs="仿宋_GB2312"/>
          <w:i w:val="0"/>
          <w:caps w:val="0"/>
          <w:color w:val="000000"/>
          <w:spacing w:val="0"/>
          <w:sz w:val="32"/>
          <w:szCs w:val="32"/>
          <w:lang w:val="en-US" w:eastAsia="zh-CN"/>
        </w:rPr>
        <w:t>2</w:t>
      </w:r>
      <w:r>
        <w:rPr>
          <w:rFonts w:hint="default" w:ascii="仿宋_GB2312" w:hAnsi="微软雅黑" w:eastAsia="仿宋_GB2312" w:cs="仿宋_GB2312"/>
          <w:i w:val="0"/>
          <w:caps w:val="0"/>
          <w:color w:val="000000"/>
          <w:spacing w:val="0"/>
          <w:sz w:val="32"/>
          <w:szCs w:val="32"/>
        </w:rPr>
        <w:t>件，政协提案</w:t>
      </w:r>
      <w:r>
        <w:rPr>
          <w:rFonts w:hint="eastAsia" w:ascii="Times New Roman" w:hAnsi="Times New Roman" w:eastAsia="仿宋_GB2312" w:cs="Times New Roman"/>
          <w:i w:val="0"/>
          <w:caps w:val="0"/>
          <w:color w:val="000000"/>
          <w:spacing w:val="0"/>
          <w:sz w:val="32"/>
          <w:szCs w:val="32"/>
          <w:lang w:val="en-US" w:eastAsia="zh-CN"/>
        </w:rPr>
        <w:t>2</w:t>
      </w:r>
      <w:r>
        <w:rPr>
          <w:rFonts w:hint="default" w:ascii="仿宋_GB2312" w:hAnsi="微软雅黑" w:eastAsia="仿宋_GB2312" w:cs="仿宋_GB2312"/>
          <w:i w:val="0"/>
          <w:caps w:val="0"/>
          <w:color w:val="000000"/>
          <w:spacing w:val="0"/>
          <w:sz w:val="32"/>
          <w:szCs w:val="32"/>
        </w:rPr>
        <w:t>件，所有办</w:t>
      </w:r>
      <w:bookmarkStart w:id="12" w:name="_GoBack"/>
      <w:bookmarkEnd w:id="12"/>
      <w:r>
        <w:rPr>
          <w:rFonts w:hint="default" w:ascii="仿宋_GB2312" w:hAnsi="微软雅黑" w:eastAsia="仿宋_GB2312" w:cs="仿宋_GB2312"/>
          <w:i w:val="0"/>
          <w:caps w:val="0"/>
          <w:color w:val="000000"/>
          <w:spacing w:val="0"/>
          <w:sz w:val="32"/>
          <w:szCs w:val="32"/>
        </w:rPr>
        <w:t>件均</w:t>
      </w:r>
      <w:r>
        <w:rPr>
          <w:rFonts w:hint="eastAsia" w:ascii="仿宋_GB2312" w:hAnsi="微软雅黑" w:eastAsia="仿宋_GB2312" w:cs="仿宋_GB2312"/>
          <w:i w:val="0"/>
          <w:caps w:val="0"/>
          <w:color w:val="000000"/>
          <w:spacing w:val="0"/>
          <w:sz w:val="32"/>
          <w:szCs w:val="32"/>
          <w:lang w:eastAsia="zh-CN"/>
        </w:rPr>
        <w:t>已解决或采纳</w:t>
      </w:r>
      <w:r>
        <w:rPr>
          <w:rFonts w:hint="default" w:ascii="仿宋_GB2312" w:hAnsi="微软雅黑" w:eastAsia="仿宋_GB2312" w:cs="仿宋_GB2312"/>
          <w:i w:val="0"/>
          <w:caps w:val="0"/>
          <w:color w:val="000000"/>
          <w:spacing w:val="0"/>
          <w:sz w:val="32"/>
          <w:szCs w:val="32"/>
        </w:rPr>
        <w:t>并向委员面复，面复满意率达</w:t>
      </w:r>
      <w:r>
        <w:rPr>
          <w:rFonts w:hint="default" w:ascii="Times New Roman" w:hAnsi="Times New Roman" w:eastAsia="仿宋_GB2312" w:cs="Times New Roman"/>
          <w:i w:val="0"/>
          <w:caps w:val="0"/>
          <w:color w:val="000000"/>
          <w:spacing w:val="0"/>
          <w:sz w:val="32"/>
          <w:szCs w:val="32"/>
        </w:rPr>
        <w:t>100%</w:t>
      </w:r>
      <w:r>
        <w:rPr>
          <w:rFonts w:hint="default" w:ascii="仿宋_GB2312" w:hAnsi="微软雅黑" w:eastAsia="仿宋_GB2312" w:cs="仿宋_GB2312"/>
          <w:i w:val="0"/>
          <w:caps w:val="0"/>
          <w:color w:val="000000"/>
          <w:spacing w:val="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textAlignment w:val="auto"/>
        <w:rPr>
          <w:rFonts w:hint="eastAsia" w:ascii="仿宋_GB2312" w:hAnsi="Times New Roman" w:eastAsia="仿宋_GB2312" w:cs="仿宋_GB2312"/>
          <w:color w:val="000000"/>
          <w:spacing w:val="0"/>
          <w:sz w:val="32"/>
          <w:szCs w:val="32"/>
          <w:lang w:val="en-US" w:eastAsia="zh-CN"/>
        </w:rPr>
      </w:pPr>
      <w:r>
        <w:rPr>
          <w:rFonts w:hint="eastAsia" w:ascii="仿宋_GB2312" w:hAnsi="Times New Roman" w:eastAsia="仿宋_GB2312" w:cs="仿宋_GB2312"/>
          <w:i w:val="0"/>
          <w:caps w:val="0"/>
          <w:color w:val="000000"/>
          <w:spacing w:val="0"/>
          <w:sz w:val="32"/>
          <w:szCs w:val="32"/>
          <w:lang w:val="en-US" w:eastAsia="zh-CN"/>
        </w:rPr>
        <w:t>3.落实《2025年周村区政务公开工作任务分解表》情况。</w:t>
      </w:r>
      <w:r>
        <w:rPr>
          <w:rFonts w:hint="eastAsia" w:ascii="仿宋_GB2312" w:hAnsi="Times New Roman" w:eastAsia="仿宋_GB2312" w:cs="仿宋_GB2312"/>
          <w:color w:val="000000"/>
          <w:spacing w:val="0"/>
          <w:sz w:val="32"/>
          <w:szCs w:val="32"/>
          <w:lang w:eastAsia="zh-CN"/>
        </w:rPr>
        <w:t>强化主体责任，细化科室及相关单位主动公开事项目录，完善发布时限，责任到人，及时跟踪对接，确保信息公开的时效性及规范性</w:t>
      </w:r>
      <w:r>
        <w:rPr>
          <w:rFonts w:hint="default" w:ascii="仿宋_GB2312" w:hAnsi="Times New Roman" w:eastAsia="仿宋_GB2312" w:cs="仿宋_GB2312"/>
          <w:color w:val="000000"/>
          <w:spacing w:val="0"/>
          <w:sz w:val="32"/>
          <w:szCs w:val="32"/>
          <w:lang w:eastAsia="zh-CN"/>
        </w:rPr>
        <w:t>，保障人民群众的知情权、参与权与监督权。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微软雅黑" w:hAnsi="微软雅黑" w:eastAsia="微软雅黑" w:cs="微软雅黑"/>
          <w:i w:val="0"/>
          <w:caps w:val="0"/>
          <w:color w:val="000000"/>
          <w:spacing w:val="0"/>
          <w:sz w:val="24"/>
          <w:szCs w:val="24"/>
        </w:rPr>
      </w:pPr>
      <w:r>
        <w:rPr>
          <w:rFonts w:hint="eastAsia" w:ascii="Times New Roman" w:hAnsi="Times New Roman" w:eastAsia="仿宋_GB2312" w:cs="Times New Roman"/>
          <w:i w:val="0"/>
          <w:caps w:val="0"/>
          <w:color w:val="000000"/>
          <w:spacing w:val="0"/>
          <w:sz w:val="32"/>
          <w:szCs w:val="32"/>
          <w:lang w:val="en-US" w:eastAsia="zh-CN"/>
        </w:rPr>
        <w:t>4.</w:t>
      </w:r>
      <w:r>
        <w:rPr>
          <w:rFonts w:hint="default" w:ascii="仿宋_GB2312" w:hAnsi="微软雅黑" w:eastAsia="仿宋_GB2312" w:cs="仿宋_GB2312"/>
          <w:i w:val="0"/>
          <w:caps w:val="0"/>
          <w:color w:val="000000"/>
          <w:spacing w:val="0"/>
          <w:sz w:val="32"/>
          <w:szCs w:val="32"/>
        </w:rPr>
        <w:t>统计数据起止时间。以上内容统计数据为</w:t>
      </w:r>
      <w:r>
        <w:rPr>
          <w:rFonts w:hint="eastAsia" w:ascii="Times New Roman" w:hAnsi="Times New Roman" w:eastAsia="仿宋_GB2312" w:cs="Times New Roman"/>
          <w:i w:val="0"/>
          <w:caps w:val="0"/>
          <w:color w:val="000000"/>
          <w:spacing w:val="0"/>
          <w:sz w:val="32"/>
          <w:szCs w:val="32"/>
          <w:lang w:eastAsia="zh-CN"/>
        </w:rPr>
        <w:t>2025</w:t>
      </w:r>
      <w:r>
        <w:rPr>
          <w:rFonts w:hint="default" w:ascii="仿宋_GB2312" w:hAnsi="微软雅黑" w:eastAsia="仿宋_GB2312" w:cs="仿宋_GB2312"/>
          <w:i w:val="0"/>
          <w:caps w:val="0"/>
          <w:color w:val="000000"/>
          <w:spacing w:val="0"/>
          <w:sz w:val="32"/>
          <w:szCs w:val="32"/>
        </w:rPr>
        <w:t>年</w:t>
      </w:r>
      <w:r>
        <w:rPr>
          <w:rFonts w:hint="default" w:ascii="Times New Roman" w:hAnsi="Times New Roman" w:eastAsia="仿宋_GB2312" w:cs="Times New Roman"/>
          <w:i w:val="0"/>
          <w:caps w:val="0"/>
          <w:color w:val="000000"/>
          <w:spacing w:val="0"/>
          <w:sz w:val="32"/>
          <w:szCs w:val="32"/>
        </w:rPr>
        <w:t>1</w:t>
      </w:r>
      <w:r>
        <w:rPr>
          <w:rFonts w:hint="default" w:ascii="仿宋_GB2312" w:hAnsi="微软雅黑" w:eastAsia="仿宋_GB2312" w:cs="仿宋_GB2312"/>
          <w:i w:val="0"/>
          <w:caps w:val="0"/>
          <w:color w:val="000000"/>
          <w:spacing w:val="0"/>
          <w:sz w:val="32"/>
          <w:szCs w:val="32"/>
        </w:rPr>
        <w:t>月</w:t>
      </w:r>
      <w:r>
        <w:rPr>
          <w:rFonts w:hint="default" w:ascii="Times New Roman" w:hAnsi="Times New Roman" w:eastAsia="仿宋_GB2312" w:cs="Times New Roman"/>
          <w:i w:val="0"/>
          <w:caps w:val="0"/>
          <w:color w:val="000000"/>
          <w:spacing w:val="0"/>
          <w:sz w:val="32"/>
          <w:szCs w:val="32"/>
        </w:rPr>
        <w:t>1</w:t>
      </w:r>
      <w:r>
        <w:rPr>
          <w:rFonts w:hint="default" w:ascii="仿宋_GB2312" w:hAnsi="微软雅黑" w:eastAsia="仿宋_GB2312" w:cs="仿宋_GB2312"/>
          <w:i w:val="0"/>
          <w:caps w:val="0"/>
          <w:color w:val="000000"/>
          <w:spacing w:val="0"/>
          <w:sz w:val="32"/>
          <w:szCs w:val="32"/>
        </w:rPr>
        <w:t>日至</w:t>
      </w:r>
      <w:r>
        <w:rPr>
          <w:rFonts w:hint="eastAsia" w:ascii="Times New Roman" w:hAnsi="Times New Roman" w:eastAsia="仿宋_GB2312" w:cs="Times New Roman"/>
          <w:i w:val="0"/>
          <w:caps w:val="0"/>
          <w:color w:val="000000"/>
          <w:spacing w:val="0"/>
          <w:sz w:val="32"/>
          <w:szCs w:val="32"/>
          <w:lang w:eastAsia="zh-CN"/>
        </w:rPr>
        <w:t>2025</w:t>
      </w:r>
      <w:r>
        <w:rPr>
          <w:rFonts w:hint="default" w:ascii="仿宋_GB2312" w:hAnsi="微软雅黑" w:eastAsia="仿宋_GB2312" w:cs="仿宋_GB2312"/>
          <w:i w:val="0"/>
          <w:caps w:val="0"/>
          <w:color w:val="000000"/>
          <w:spacing w:val="0"/>
          <w:sz w:val="32"/>
          <w:szCs w:val="32"/>
        </w:rPr>
        <w:t>年</w:t>
      </w:r>
      <w:r>
        <w:rPr>
          <w:rFonts w:hint="default" w:ascii="Times New Roman" w:hAnsi="Times New Roman" w:eastAsia="仿宋_GB2312" w:cs="Times New Roman"/>
          <w:i w:val="0"/>
          <w:caps w:val="0"/>
          <w:color w:val="000000"/>
          <w:spacing w:val="0"/>
          <w:sz w:val="32"/>
          <w:szCs w:val="32"/>
        </w:rPr>
        <w:t>12</w:t>
      </w:r>
      <w:r>
        <w:rPr>
          <w:rFonts w:hint="default" w:ascii="仿宋_GB2312" w:hAnsi="微软雅黑" w:eastAsia="仿宋_GB2312" w:cs="仿宋_GB2312"/>
          <w:i w:val="0"/>
          <w:caps w:val="0"/>
          <w:color w:val="000000"/>
          <w:spacing w:val="0"/>
          <w:sz w:val="32"/>
          <w:szCs w:val="32"/>
        </w:rPr>
        <w:t>月</w:t>
      </w:r>
      <w:r>
        <w:rPr>
          <w:rFonts w:hint="default" w:ascii="Times New Roman" w:hAnsi="Times New Roman" w:eastAsia="仿宋_GB2312" w:cs="Times New Roman"/>
          <w:i w:val="0"/>
          <w:caps w:val="0"/>
          <w:color w:val="000000"/>
          <w:spacing w:val="0"/>
          <w:sz w:val="32"/>
          <w:szCs w:val="32"/>
        </w:rPr>
        <w:t>31</w:t>
      </w:r>
      <w:r>
        <w:rPr>
          <w:rFonts w:hint="default" w:ascii="仿宋_GB2312" w:hAnsi="微软雅黑" w:eastAsia="仿宋_GB2312" w:cs="仿宋_GB2312"/>
          <w:i w:val="0"/>
          <w:caps w:val="0"/>
          <w:color w:val="000000"/>
          <w:spacing w:val="0"/>
          <w:sz w:val="32"/>
          <w:szCs w:val="32"/>
        </w:rPr>
        <w:t>日。</w:t>
      </w:r>
    </w:p>
    <w:p>
      <w:pPr>
        <w:pageBreakBefore w:val="0"/>
        <w:kinsoku/>
        <w:overflowPunct/>
        <w:topLinePunct w:val="0"/>
        <w:autoSpaceDE/>
        <w:autoSpaceDN/>
        <w:bidi w:val="0"/>
        <w:adjustRightInd/>
        <w:snapToGrid/>
        <w:spacing w:beforeAutospacing="0" w:afterAutospacing="0" w:line="600" w:lineRule="exact"/>
        <w:textAlignment w:val="auto"/>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粗黑宋简体">
    <w:panose1 w:val="02000000000000000000"/>
    <w:charset w:val="86"/>
    <w:family w:val="auto"/>
    <w:pitch w:val="default"/>
    <w:sig w:usb0="A00002BF" w:usb1="184F6CFA" w:usb2="00000012"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Times New Toman">
    <w:altName w:val="Traditional Arabic"/>
    <w:panose1 w:val="02020603050405020304"/>
    <w:charset w:val="00"/>
    <w:family w:val="swiss"/>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Traditional Arabic">
    <w:panose1 w:val="02020603050405020304"/>
    <w:charset w:val="00"/>
    <w:family w:val="auto"/>
    <w:pitch w:val="default"/>
    <w:sig w:usb0="00006003" w:usb1="80000000" w:usb2="00000008" w:usb3="00000000" w:csb0="00000041" w:csb1="20080000"/>
  </w:font>
  <w:font w:name="Times New Toman">
    <w:altName w:val="Traditional Arabic"/>
    <w:panose1 w:val="02020603050405020304"/>
    <w:charset w:val="00"/>
    <w:family w:val="decorative"/>
    <w:pitch w:val="default"/>
    <w:sig w:usb0="00000000" w:usb1="00000000" w:usb2="00000008" w:usb3="00000000" w:csb0="000001FF" w:csb1="00000000"/>
  </w:font>
  <w:font w:name="Times New Toman">
    <w:altName w:val="Traditional Arabic"/>
    <w:panose1 w:val="02020603050405020304"/>
    <w:charset w:val="00"/>
    <w:family w:val="roman"/>
    <w:pitch w:val="default"/>
    <w:sig w:usb0="00000000" w:usb1="00000000" w:usb2="00000008" w:usb3="00000000" w:csb0="000001FF" w:csb1="00000000"/>
  </w:font>
  <w:font w:name="Times New Toman">
    <w:altName w:val="Traditional Arabic"/>
    <w:panose1 w:val="02020603050405020304"/>
    <w:charset w:val="00"/>
    <w:family w:val="modern"/>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F Pro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905C1"/>
    <w:rsid w:val="089A25C7"/>
    <w:rsid w:val="1BAE059F"/>
    <w:rsid w:val="355C3599"/>
    <w:rsid w:val="3B430678"/>
    <w:rsid w:val="3B965778"/>
    <w:rsid w:val="47AA5523"/>
    <w:rsid w:val="4EC905C1"/>
    <w:rsid w:val="579C5274"/>
    <w:rsid w:val="587924B3"/>
    <w:rsid w:val="665649E8"/>
    <w:rsid w:val="6C007F3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line="24" w:lineRule="atLeast"/>
      <w:ind w:left="0" w:right="0"/>
      <w:jc w:val="left"/>
    </w:pPr>
    <w:rPr>
      <w:kern w:val="0"/>
      <w:sz w:val="24"/>
      <w:lang w:val="en-US" w:eastAsia="zh-CN" w:bidi="ar"/>
    </w:rPr>
  </w:style>
  <w:style w:type="character" w:styleId="5">
    <w:name w:val="Strong"/>
    <w:basedOn w:val="4"/>
    <w:qFormat/>
    <w:uiPriority w:val="0"/>
    <w:rPr>
      <w:b/>
    </w:rPr>
  </w:style>
  <w:style w:type="paragraph" w:customStyle="1" w:styleId="7">
    <w:name w:val="Heading #2|1"/>
    <w:basedOn w:val="1"/>
    <w:qFormat/>
    <w:uiPriority w:val="0"/>
    <w:pPr>
      <w:widowControl w:val="0"/>
      <w:shd w:val="clear" w:color="auto" w:fill="auto"/>
      <w:spacing w:after="360" w:line="744" w:lineRule="exact"/>
      <w:jc w:val="center"/>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2026-01-06T01:37:00Z</dcterms:created>
  <dc:creator>Administrator</dc:creator>
  <cp:lastModifiedBy>Administrator</cp:lastModifiedBy>
  <dcterms:modified xsi:type="dcterms:W3CDTF">2026-01-21T02:51:04Z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