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eastAsia"/>
          <w:color w:val="000000"/>
          <w:spacing w:val="0"/>
          <w:w w:val="100"/>
          <w:position w:val="0"/>
          <w:sz w:val="36"/>
          <w:szCs w:val="36"/>
          <w:lang w:eastAsia="zh-CN"/>
        </w:rPr>
      </w:pPr>
      <w:bookmarkStart w:id="0" w:name="bookmark27"/>
      <w:bookmarkStart w:id="1" w:name="bookmark29"/>
      <w:bookmarkStart w:id="2" w:name="bookmark28"/>
      <w:r>
        <w:rPr>
          <w:rFonts w:hint="eastAsia"/>
          <w:color w:val="000000"/>
          <w:spacing w:val="0"/>
          <w:w w:val="100"/>
          <w:position w:val="0"/>
          <w:sz w:val="36"/>
          <w:szCs w:val="36"/>
          <w:lang w:eastAsia="zh-CN"/>
        </w:rPr>
        <w:t>周村区住房和城乡建设局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</w:pPr>
      <w:r>
        <w:rPr>
          <w:rFonts w:hint="eastAsia"/>
          <w:color w:val="000000"/>
          <w:spacing w:val="0"/>
          <w:w w:val="100"/>
          <w:position w:val="0"/>
          <w:sz w:val="36"/>
          <w:szCs w:val="36"/>
          <w:lang w:val="en-US" w:eastAsia="zh-CN"/>
        </w:rPr>
        <w:t>2023年</w:t>
      </w:r>
      <w:r>
        <w:rPr>
          <w:color w:val="000000"/>
          <w:spacing w:val="0"/>
          <w:w w:val="100"/>
          <w:position w:val="0"/>
          <w:sz w:val="36"/>
          <w:szCs w:val="36"/>
        </w:rPr>
        <w:t>政府信息公开工作年度报告</w:t>
      </w:r>
      <w:bookmarkEnd w:id="0"/>
      <w:bookmarkEnd w:id="1"/>
      <w:bookmarkEnd w:id="2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2023</w:t>
      </w:r>
      <w:r>
        <w:rPr>
          <w:rFonts w:ascii="仿宋_GB2312" w:hAnsi="Times New Roman" w:eastAsia="仿宋_GB2312" w:cs="仿宋_GB2312"/>
          <w:color w:val="000000"/>
          <w:spacing w:val="0"/>
          <w:sz w:val="32"/>
          <w:szCs w:val="32"/>
        </w:rPr>
        <w:t>年，</w:t>
      </w:r>
      <w:r>
        <w:rPr>
          <w:rFonts w:hint="default" w:ascii="仿宋_GB2312" w:hAnsi="Times New Roman" w:eastAsia="仿宋_GB2312" w:cs="仿宋_GB2312"/>
          <w:color w:val="000000"/>
          <w:spacing w:val="0"/>
          <w:sz w:val="32"/>
          <w:szCs w:val="32"/>
        </w:rPr>
        <w:t>周村区住房和城乡建设局高度重视政府信息公开工作，认真贯彻落实《中华人民共和国政府信息公开条例》各项要求，严格按照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  <w:t>“</w:t>
      </w:r>
      <w:r>
        <w:rPr>
          <w:rFonts w:hint="default" w:ascii="仿宋_GB2312" w:hAnsi="Times New Roman" w:eastAsia="仿宋_GB2312" w:cs="仿宋_GB2312"/>
          <w:color w:val="000000"/>
          <w:spacing w:val="0"/>
          <w:sz w:val="32"/>
          <w:szCs w:val="32"/>
        </w:rPr>
        <w:t>应公开尽公开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  <w:t>”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原则，</w:t>
      </w:r>
      <w:r>
        <w:rPr>
          <w:rFonts w:hint="default" w:ascii="仿宋_GB2312" w:hAnsi="Times New Roman" w:eastAsia="仿宋_GB2312" w:cs="仿宋_GB2312"/>
          <w:color w:val="000000"/>
          <w:spacing w:val="0"/>
          <w:sz w:val="32"/>
          <w:szCs w:val="32"/>
        </w:rPr>
        <w:t>结合城建工作实际，扎实推进政府信息公开工作。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现向社会公布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周村区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住建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局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年政府信息公开工作年度报告。本年度报告中所列数据的统计期限自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日起，至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日止。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如对本报告有疑问，请联系周村区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住建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局办公室，联系电话：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0533-6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401101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</w:pPr>
      <w:r>
        <w:rPr>
          <w:rFonts w:ascii="黑体" w:hAnsi="宋体" w:eastAsia="黑体" w:cs="黑体"/>
          <w:color w:val="000000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jc w:val="both"/>
        <w:textAlignment w:val="auto"/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hAnsi="Times New Roman" w:eastAsia="仿宋_GB2312" w:cs="仿宋_GB2312"/>
          <w:color w:val="000000"/>
          <w:spacing w:val="0"/>
          <w:sz w:val="32"/>
          <w:szCs w:val="32"/>
        </w:rPr>
        <w:t>年，周村区住房和城乡建设局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进一步建立健全政府信息发布机制、政府信息公开审查机制，明确专人负责网站信息发布工作，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不断完善政府信息公开工作指南和公开目录，定期进行检查，及时更新</w:t>
      </w:r>
      <w:r>
        <w:rPr>
          <w:rFonts w:hint="default" w:ascii="仿宋_GB2312" w:hAnsi="Times New Roman" w:eastAsia="仿宋_GB2312" w:cs="仿宋_GB2312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</w:pPr>
      <w:r>
        <w:rPr>
          <w:rFonts w:ascii="楷体" w:hAnsi="楷体" w:eastAsia="楷体" w:cs="楷体"/>
          <w:color w:val="000000"/>
          <w:sz w:val="32"/>
          <w:szCs w:val="32"/>
        </w:rPr>
        <w:t>（一）主动公开方面。</w:t>
      </w:r>
      <w:r>
        <w:rPr>
          <w:rFonts w:hint="default" w:ascii="仿宋_GB2312" w:hAnsi="Times New Roman" w:eastAsia="仿宋_GB2312" w:cs="仿宋_GB2312"/>
          <w:color w:val="000000"/>
          <w:spacing w:val="0"/>
          <w:sz w:val="32"/>
          <w:szCs w:val="32"/>
        </w:rPr>
        <w:t>进一步推进重大决策预公开，在制定涉及企业经营发展、工程建设标准等专业领域政策文件时，广泛征求社会公众意见，主动做好政策解读工作。发布审批事项办理指导手册，做好相关工程信息公开，实时更新施工信息、消防设计审核意见书、工程质量安全备案、竣工验收备案表，以项目为单位集中展示项目批准和实施的全过程，进一步提高公开效果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年，主动公开新闻时事、文件政策、政策解读、执法结果、房地产市场监督等各类信息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119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</w:rPr>
        <w:t>（二）依申请公开方面。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认真落实《中华人民共和国政府信息公开条例》等规定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，加强信息公开业务指导培训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，确保所有公开信息经审核后公开，未发现有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公开涉及国家秘密、商业秘密、个人隐私的政府信息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的行为。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年，收到依申请公开申请事项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件，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eastAsia="zh-CN"/>
        </w:rPr>
        <w:t>截至目前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全部办理完毕，依法公开。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ascii="新宋体" w:hAnsi="新宋体" w:eastAsia="新宋体" w:cs="新宋体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（三）政府信息管理方面。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明确职责分工，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法规科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牵头推进，各业务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/>
        </w:rPr>
        <w:t>科</w:t>
      </w:r>
      <w:r>
        <w:rPr>
          <w:rFonts w:hint="default" w:ascii="仿宋_GB2312" w:hAnsi="Times New Roman" w:eastAsia="仿宋_GB2312" w:cs="仿宋_GB2312"/>
          <w:color w:val="000000"/>
          <w:sz w:val="32"/>
          <w:szCs w:val="32"/>
        </w:rPr>
        <w:t>室具体落实，加强信息保障和专题专栏建设，严格按照“信息谁制作、谁公开、谁负责”的要求，进一步细化分解任务，明确公开主体，压实公开责任，切实把每一个公开事项落实到具体机构和人员，进一步加大信息公开力度，提高信息透明度，保障人民群众的知情权、参与权与监督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/>
        <w:textAlignment w:val="auto"/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</w:rPr>
        <w:t>（四）平台建设方面。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进一步完善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住建局信息公开平台建设，依托政务新媒体“周村住建”微信公众号，配合政务公开办，主动发布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工程建设手续办理各个环节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的标准化建设，做好行政执法公示，及时公开权力运行情况，提高了工作效率，提升了政务公开信息化保障水平。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</w:rPr>
        <w:t>（五）监督保障方面。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成立政府信息公开工作领导小组，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制定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完善相关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制度文件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和工作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措施，及时落实上级部署工作。不断完善政府信息公开工作指南和公开目录，定期进行检查，及时更新。进一步明确局系统政府信息公开的内容、时限、形式、主体等要素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，督促有关科室对照目录履行信息公开职责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加强信息公开队伍建设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组织培训包括《政府信息公开条例》相关法律法规、政府信息公开答复规范格式、政府信息公开发布保密注意事项等内容。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年，周村区住房和城乡建设局因政府信息公开工作被提起行政诉讼</w:t>
      </w:r>
      <w:r>
        <w:rPr>
          <w:rFonts w:hint="eastAsia" w:asci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4起，上诉4起，全部胜诉</w:t>
      </w:r>
      <w:r>
        <w:rPr>
          <w:rFonts w:hint="default" w:ascii="仿宋_GB2312" w:eastAsia="仿宋_GB2312" w:cs="仿宋_GB2312"/>
          <w:color w:val="000000"/>
          <w:spacing w:val="0"/>
          <w:sz w:val="32"/>
          <w:szCs w:val="32"/>
        </w:rPr>
        <w:t>。无相关人员被追责问责情况。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eastAsia" w:ascii="黑体" w:hAnsi="宋体" w:eastAsia="黑体" w:cs="黑体"/>
          <w:color w:val="000000"/>
          <w:spacing w:val="0"/>
          <w:sz w:val="32"/>
          <w:szCs w:val="32"/>
        </w:rPr>
        <w:t>二、主动公开信息情况</w:t>
      </w:r>
    </w:p>
    <w:tbl>
      <w:tblPr>
        <w:tblStyle w:val="10"/>
        <w:tblW w:w="8169" w:type="dxa"/>
        <w:tblInd w:w="135" w:type="dxa"/>
        <w:tblBorders>
          <w:top w:val="none" w:color="999999" w:sz="6" w:space="0"/>
          <w:left w:val="none" w:color="999999" w:sz="6" w:space="0"/>
          <w:bottom w:val="none" w:color="999999" w:sz="6" w:space="0"/>
          <w:right w:val="non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2"/>
        <w:gridCol w:w="2042"/>
        <w:gridCol w:w="2042"/>
        <w:gridCol w:w="2043"/>
      </w:tblGrid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3445" w:right="3429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664"/>
              <w:jc w:val="right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72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72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71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69" w:type="dxa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3445" w:right="3429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664"/>
              <w:jc w:val="right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1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448" w:right="2430"/>
              <w:jc w:val="center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127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8169" w:type="dxa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3445" w:right="3429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664"/>
              <w:jc w:val="right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1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448" w:right="2430"/>
              <w:jc w:val="center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127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127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169" w:type="dxa"/>
            <w:gridSpan w:val="4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3445" w:right="3429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664"/>
              <w:jc w:val="right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1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943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4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textAlignment w:val="auto"/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127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2"/>
                <w:szCs w:val="22"/>
                <w:lang w:val="en-US" w:eastAsia="zh-CN"/>
              </w:rPr>
              <w:t>9417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pacing w:val="0"/>
          <w:sz w:val="22"/>
          <w:szCs w:val="22"/>
          <w:lang w:val="en-US" w:eastAsia="zh-CN"/>
        </w:rPr>
        <w:t xml:space="preserve">  </w:t>
      </w:r>
      <w:r>
        <w:rPr>
          <w:rFonts w:hint="eastAsia" w:ascii="黑体" w:hAnsi="宋体" w:eastAsia="黑体" w:cs="黑体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10"/>
        <w:tblpPr w:leftFromText="180" w:rightFromText="180" w:vertAnchor="text" w:horzAnchor="page" w:tblpX="972" w:tblpY="568"/>
        <w:tblOverlap w:val="never"/>
        <w:tblW w:w="9602" w:type="dxa"/>
        <w:tblInd w:w="0" w:type="dxa"/>
        <w:tblBorders>
          <w:top w:val="none" w:color="999999" w:sz="6" w:space="0"/>
          <w:left w:val="none" w:color="999999" w:sz="6" w:space="0"/>
          <w:bottom w:val="none" w:color="999999" w:sz="6" w:space="0"/>
          <w:right w:val="non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1479"/>
        <w:gridCol w:w="3240"/>
        <w:gridCol w:w="549"/>
        <w:gridCol w:w="636"/>
        <w:gridCol w:w="645"/>
        <w:gridCol w:w="840"/>
        <w:gridCol w:w="765"/>
        <w:gridCol w:w="390"/>
        <w:gridCol w:w="630"/>
      </w:tblGrid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514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286" w:right="222" w:hanging="1052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（本列数据的勾稽关系为：第一项加第二项之和， 等于第三项加第四项之和）</w:t>
            </w:r>
          </w:p>
        </w:tc>
        <w:tc>
          <w:tcPr>
            <w:tcW w:w="4455" w:type="dxa"/>
            <w:gridSpan w:val="7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1847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申请人</w:t>
            </w: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况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4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19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276" w:type="dxa"/>
            <w:gridSpan w:val="5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839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19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14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78" w:right="5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77" w:right="59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840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55" w:right="3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765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4" w:right="22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390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147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5147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428" w:type="dxa"/>
            <w:vMerge w:val="restar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 w:right="8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、本年度办理结果</w:t>
            </w: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2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（二）部分公开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3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nil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2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3240" w:type="dxa"/>
            <w:tcBorders>
              <w:top w:val="nil"/>
              <w:left w:val="nil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-15" w:rightChars="0" w:firstLine="0" w:firstLineChars="0"/>
              <w:jc w:val="both"/>
              <w:textAlignment w:val="auto"/>
              <w:outlineLvl w:val="9"/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1. 申请人无正当理由逾期不补行政机关不再处理其政府信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" w:lef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息公开申请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" w:leftChars="0" w:right="-15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仿宋_GB2312" w:hAnsi="-apple-system" w:eastAsia="仿宋_GB2312" w:cs="仿宋_GB2312"/>
                <w:color w:val="000000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9" w:leftChars="0" w:right="-15" w:firstLine="0" w:firstLineChars="0"/>
              <w:jc w:val="center"/>
              <w:textAlignment w:val="auto"/>
              <w:outlineLvl w:val="9"/>
              <w:rPr>
                <w:rFonts w:hint="eastAsia" w:ascii="仿宋_GB2312" w:hAnsi="-apple-system" w:eastAsia="仿宋_GB2312" w:cs="仿宋_GB2312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-apple-system" w:eastAsia="仿宋_GB2312" w:cs="仿宋_GB2312"/>
                <w:color w:val="000000"/>
                <w:spacing w:val="0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428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-apple-system" w:hAnsi="-apple-system" w:eastAsia="-apple-system" w:cs="-apple-system"/>
                <w:sz w:val="24"/>
                <w:szCs w:val="24"/>
              </w:rPr>
            </w:pPr>
          </w:p>
        </w:tc>
        <w:tc>
          <w:tcPr>
            <w:tcW w:w="4719" w:type="dxa"/>
            <w:gridSpan w:val="2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2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147" w:type="dxa"/>
            <w:gridSpan w:val="3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0"/>
                <w:szCs w:val="2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</w:pPr>
      <w:r>
        <w:rPr>
          <w:rFonts w:hint="eastAsia" w:ascii="黑体" w:hAnsi="宋体" w:eastAsia="黑体" w:cs="黑体"/>
          <w:color w:val="000000"/>
          <w:spacing w:val="0"/>
          <w:sz w:val="32"/>
          <w:szCs w:val="32"/>
        </w:rPr>
        <w:t>四、因政府信息公开工作被申请行政复议、提起行政诉讼情况</w:t>
      </w:r>
    </w:p>
    <w:tbl>
      <w:tblPr>
        <w:tblStyle w:val="10"/>
        <w:tblW w:w="9071" w:type="dxa"/>
        <w:tblInd w:w="135" w:type="dxa"/>
        <w:tblBorders>
          <w:top w:val="none" w:color="999999" w:sz="6" w:space="0"/>
          <w:left w:val="none" w:color="999999" w:sz="6" w:space="0"/>
          <w:bottom w:val="none" w:color="999999" w:sz="6" w:space="0"/>
          <w:right w:val="non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60"/>
        <w:gridCol w:w="550"/>
        <w:gridCol w:w="605"/>
        <w:gridCol w:w="605"/>
        <w:gridCol w:w="605"/>
        <w:gridCol w:w="605"/>
        <w:gridCol w:w="605"/>
        <w:gridCol w:w="605"/>
        <w:gridCol w:w="605"/>
        <w:gridCol w:w="602"/>
        <w:gridCol w:w="608"/>
      </w:tblGrid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30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16" w:right="1098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599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575" w:right="2561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604" w:type="dxa"/>
            <w:vMerge w:val="restar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textAlignment w:val="auto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11" w:right="71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textAlignment w:val="auto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46" w:right="37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textAlignment w:val="auto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8" w:right="75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textAlignment w:val="auto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pacing w:val="0"/>
                <w:sz w:val="25"/>
                <w:szCs w:val="25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2" w:right="81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textAlignment w:val="auto"/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28" w:right="210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683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13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-apple-system" w:hAnsi="-apple-system" w:eastAsia="-apple-system" w:cs="-apple-system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-apple-system" w:hAnsi="-apple-system" w:eastAsia="-apple-system" w:cs="-apple-system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-apple-system" w:hAnsi="-apple-system" w:eastAsia="-apple-system" w:cs="-apple-system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-apple-system" w:hAnsi="-apple-system" w:eastAsia="-apple-system" w:cs="-apple-system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-apple-system" w:hAnsi="-apple-system" w:eastAsia="-apple-system" w:cs="-apple-system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83" w:right="46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2" w:right="82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07" w:right="77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97" w:right="87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02" w:right="181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92" w:right="92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96" w:right="88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82" w:right="102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其他结果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122" w:right="63" w:hanging="3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尚未审结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203" w:right="183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999999" w:sz="6" w:space="0"/>
            <w:left w:val="none" w:color="999999" w:sz="6" w:space="0"/>
            <w:bottom w:val="none" w:color="999999" w:sz="6" w:space="0"/>
            <w:right w:val="none" w:color="999999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04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5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2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6"/>
                <w:szCs w:val="26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</w:pPr>
      <w:r>
        <w:rPr>
          <w:rFonts w:hint="eastAsia" w:ascii="黑体" w:hAnsi="宋体" w:eastAsia="黑体" w:cs="黑体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</w:pPr>
      <w:r>
        <w:rPr>
          <w:rFonts w:hint="eastAsia" w:ascii="黑体" w:hAnsi="宋体" w:eastAsia="黑体" w:cs="黑体"/>
          <w:color w:val="000000"/>
          <w:spacing w:val="0"/>
          <w:sz w:val="32"/>
          <w:szCs w:val="32"/>
        </w:rPr>
        <w:t>五、政府信息公开工作存在的主要问题及改进情况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一是公开内容需要进一步规范，主动公开的决策、规定、规划、计划、方案等听取公众意见方面还需要进一步加强；二是公开形式的便民性需要进一步提高，公开形式还不够丰富。下一步一是注重加强对政府信息公开的专业性培训，对信息公开的法律法规以及程序步骤进行着重完善；二是不断加强公开力度,大力推进政府信息公开重点工作，重点抓好“三公”经费、棚户区改造、老旧小区改造等领域的公开，不断增强工作透明度；三是创新公开形式，丰富公开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收取信息处理费情况。本机关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依申请提供政府信息，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在法律规定的合理范围内，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不收取费用。</w:t>
      </w:r>
    </w:p>
    <w:p>
      <w:pPr>
        <w:pStyle w:val="3"/>
        <w:spacing w:before="175" w:line="334" w:lineRule="auto"/>
        <w:ind w:right="160" w:firstLine="647"/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人大建议、政协提案办理情况。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住建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局共承担人大建议提案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件，政协提案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件，其中 1 件为重点提案，所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有办件均办理完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，并按照要求逐一向建议人作出书面答复，实现了 面商率、答复率、满意率和按期办结率“ 四个 100%” 的目标要求。区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住建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局</w:t>
      </w:r>
      <w:r>
        <w:rPr>
          <w:spacing w:val="5"/>
        </w:rPr>
        <w:t>加强领导，落实责任，明确办理程</w:t>
      </w:r>
      <w:r>
        <w:rPr>
          <w:rFonts w:ascii="宋体" w:hAnsi="宋体" w:eastAsia="宋体" w:cs="宋体"/>
          <w:spacing w:val="5"/>
        </w:rPr>
        <w:t>序</w:t>
      </w:r>
      <w:r>
        <w:rPr>
          <w:spacing w:val="5"/>
        </w:rPr>
        <w:t>和要</w:t>
      </w:r>
      <w:r>
        <w:rPr>
          <w:spacing w:val="9"/>
        </w:rPr>
        <w:t xml:space="preserve"> </w:t>
      </w:r>
      <w:r>
        <w:rPr>
          <w:spacing w:val="5"/>
        </w:rPr>
        <w:t>求，确保件件有落实，件件有答复。</w:t>
      </w:r>
      <w:r>
        <w:rPr>
          <w:spacing w:val="7"/>
        </w:rPr>
        <w:t>在形成初步答复意见后，</w:t>
      </w:r>
      <w:r>
        <w:rPr>
          <w:spacing w:val="6"/>
        </w:rPr>
        <w:t>主动上门答复，</w:t>
      </w:r>
      <w:r>
        <w:rPr>
          <w:spacing w:val="8"/>
        </w:rPr>
        <w:t>坚决做到没有沟通不答复，沟通到位再答复，确保建议满意率。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.落实上级政务公开工作要点情况。一是及时公布城镇保障性安居工程年度建设计划，及时发布住房租赁补贴等各方面信息。二是加强专业指导和业务培训，组织专家进行深入调研，进一步完善、公开燃气企业、供热企业目录。三是设立并公开咨询电话等渠道，及时回应社会关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bookmarkStart w:id="3" w:name="_GoBack"/>
      <w:bookmarkEnd w:id="3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统计数据起止时间。以上内容统计数据为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</w:rPr>
        <w:t>日。</w:t>
      </w:r>
    </w:p>
    <w:sectPr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 New Toman">
    <w:altName w:val="Traditional Arabic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imes New Toman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1C97"/>
    <w:rsid w:val="02731C97"/>
    <w:rsid w:val="2D792A0A"/>
    <w:rsid w:val="32B75E24"/>
    <w:rsid w:val="36295EC5"/>
    <w:rsid w:val="3CA55FED"/>
    <w:rsid w:val="49647D77"/>
    <w:rsid w:val="5B1D3763"/>
    <w:rsid w:val="642A687E"/>
    <w:rsid w:val="7B3C2098"/>
    <w:rsid w:val="7EBC37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 w:line="24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  <w:shd w:val="clear" w:fill="E8E8E8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360" w:line="74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2023-01-11T07:35:00Z</dcterms:created>
  <dc:creator>Administrator</dc:creator>
  <cp:lastModifiedBy>Administrator</cp:lastModifiedBy>
  <dcterms:modified xsi:type="dcterms:W3CDTF">2024-07-09T08:59:54Z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