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华文中宋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  <w:lang w:eastAsia="zh-CN"/>
        </w:rPr>
        <w:t>淄博市周村区发展和改革局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华文中宋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  <w:lang w:eastAsia="zh-CN"/>
        </w:rPr>
        <w:t>淄博市周村区自然资源局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  <w:lang w:eastAsia="zh-CN"/>
        </w:rPr>
        <w:t>淄博市生态环境局周村分局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  <w:lang w:eastAsia="zh-CN"/>
        </w:rPr>
        <w:t>淄博市周村区行政审批服务局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  <w:lang w:eastAsia="zh-CN"/>
        </w:rPr>
        <w:t>国家税务总局淄博市周村区税务局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  <w:lang w:eastAsia="zh-CN"/>
        </w:rPr>
        <w:t>周村规划管理办公室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  <w:lang w:eastAsia="zh-CN"/>
        </w:rPr>
        <w:t>关于印发《</w:t>
      </w:r>
      <w:r>
        <w:rPr>
          <w:rFonts w:hint="eastAsia" w:ascii="方正小标宋简体" w:hAnsi="华文中宋" w:eastAsia="方正小标宋简体" w:cs="Times New Roman"/>
          <w:sz w:val="44"/>
          <w:szCs w:val="44"/>
        </w:rPr>
        <w:t>周村区工业用地“标准地”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  <w:lang w:eastAsia="zh-CN"/>
        </w:rPr>
        <w:t>控制性指标（试行）》的通知</w:t>
      </w:r>
    </w:p>
    <w:p>
      <w:pPr>
        <w:spacing w:line="600" w:lineRule="exact"/>
        <w:jc w:val="center"/>
        <w:rPr>
          <w:rFonts w:hAnsi="仿宋"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周</w:t>
      </w:r>
      <w:r>
        <w:rPr>
          <w:rFonts w:hint="eastAsia" w:hAnsi="仿宋" w:eastAsia="仿宋"/>
          <w:sz w:val="32"/>
          <w:szCs w:val="32"/>
        </w:rPr>
        <w:t>自然</w:t>
      </w:r>
      <w:r>
        <w:rPr>
          <w:rFonts w:hAnsi="仿宋" w:eastAsia="仿宋"/>
          <w:sz w:val="32"/>
          <w:szCs w:val="32"/>
        </w:rPr>
        <w:t>资字</w:t>
      </w:r>
      <w:r>
        <w:rPr>
          <w:rFonts w:hint="eastAsia" w:eastAsia="仿宋"/>
          <w:sz w:val="32"/>
          <w:szCs w:val="32"/>
        </w:rPr>
        <w:t>﹝</w:t>
      </w:r>
      <w:r>
        <w:rPr>
          <w:rFonts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  <w:lang w:val="en-US" w:eastAsia="zh-CN"/>
        </w:rPr>
        <w:t>23</w:t>
      </w:r>
      <w:r>
        <w:rPr>
          <w:rFonts w:hint="eastAsia" w:eastAsia="仿宋"/>
          <w:sz w:val="32"/>
          <w:szCs w:val="32"/>
        </w:rPr>
        <w:t>﹞</w:t>
      </w:r>
      <w:r>
        <w:rPr>
          <w:rFonts w:hint="eastAsia" w:eastAsia="仿宋"/>
          <w:sz w:val="32"/>
          <w:szCs w:val="32"/>
          <w:lang w:val="en-US" w:eastAsia="zh-CN"/>
        </w:rPr>
        <w:t>37</w:t>
      </w:r>
      <w:r>
        <w:rPr>
          <w:rFonts w:hAnsi="仿宋" w:eastAsia="仿宋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eastAsia" w:hAnsi="仿宋" w:eastAsia="仿宋"/>
          <w:sz w:val="32"/>
          <w:szCs w:val="32"/>
        </w:rPr>
      </w:pPr>
    </w:p>
    <w:p>
      <w:pPr>
        <w:spacing w:line="560" w:lineRule="exact"/>
        <w:rPr>
          <w:rFonts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-11"/>
          <w:sz w:val="32"/>
          <w:szCs w:val="32"/>
        </w:rPr>
        <w:t>各镇政府、街道办事处，周村经济开发区管委会，区有关部门、单位：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pacing w:val="6"/>
          <w:sz w:val="32"/>
          <w:szCs w:val="32"/>
          <w:lang w:eastAsia="zh-CN"/>
        </w:rPr>
        <w:t>为进一步深化“标准地”改革，健全配套制度，根据《关于加快推进“标准地”改革的指导意见》文件要求，现将</w:t>
      </w:r>
      <w:r>
        <w:rPr>
          <w:rFonts w:hint="eastAsia" w:ascii="仿宋_GB2312" w:hAnsi="仿宋_GB2312" w:eastAsia="仿宋_GB2312" w:cs="仿宋_GB2312"/>
          <w:b w:val="0"/>
          <w:bCs/>
          <w:spacing w:val="6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spacing w:val="6"/>
          <w:sz w:val="32"/>
          <w:szCs w:val="32"/>
          <w:lang w:eastAsia="zh-CN"/>
        </w:rPr>
        <w:t>周村区工业用地</w:t>
      </w:r>
      <w:r>
        <w:rPr>
          <w:rFonts w:hint="eastAsia" w:ascii="仿宋_GB2312" w:hAnsi="仿宋_GB2312" w:eastAsia="仿宋_GB2312" w:cs="仿宋_GB2312"/>
          <w:b w:val="0"/>
          <w:bCs/>
          <w:spacing w:val="6"/>
          <w:sz w:val="32"/>
          <w:szCs w:val="32"/>
        </w:rPr>
        <w:t>“标准地”</w:t>
      </w:r>
      <w:r>
        <w:rPr>
          <w:rFonts w:hint="eastAsia" w:ascii="仿宋_GB2312" w:hAnsi="仿宋_GB2312" w:eastAsia="仿宋_GB2312" w:cs="仿宋_GB2312"/>
          <w:b w:val="0"/>
          <w:bCs/>
          <w:spacing w:val="6"/>
          <w:sz w:val="32"/>
          <w:szCs w:val="32"/>
          <w:lang w:eastAsia="zh-CN"/>
        </w:rPr>
        <w:t>控制性指标（试行）》印发给你们，</w:t>
      </w:r>
      <w:r>
        <w:rPr>
          <w:rFonts w:hint="eastAsia" w:ascii="仿宋_GB2312" w:hAnsi="仿宋_GB2312" w:eastAsia="仿宋_GB2312" w:cs="仿宋_GB2312"/>
          <w:b w:val="0"/>
          <w:bCs/>
          <w:spacing w:val="6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b w:val="0"/>
          <w:bCs/>
          <w:spacing w:val="6"/>
          <w:sz w:val="32"/>
          <w:szCs w:val="32"/>
          <w:lang w:eastAsia="zh-CN"/>
        </w:rPr>
        <w:t>结合实际</w:t>
      </w:r>
      <w:r>
        <w:rPr>
          <w:rFonts w:hint="eastAsia" w:ascii="仿宋_GB2312" w:hAnsi="仿宋_GB2312" w:eastAsia="仿宋_GB2312" w:cs="仿宋_GB2312"/>
          <w:b w:val="0"/>
          <w:bCs/>
          <w:spacing w:val="6"/>
          <w:sz w:val="32"/>
          <w:szCs w:val="32"/>
        </w:rPr>
        <w:t>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24" w:firstLineChars="200"/>
        <w:jc w:val="both"/>
        <w:textAlignment w:val="auto"/>
        <w:rPr>
          <w:rFonts w:hint="eastAsia" w:ascii="Times New Roman" w:hAnsi="仿宋" w:eastAsia="仿宋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pacing w:val="1"/>
          <w:w w:val="97"/>
          <w:kern w:val="0"/>
          <w:sz w:val="32"/>
          <w:szCs w:val="32"/>
          <w:fitText w:val="7543" w:id="1152990710"/>
          <w:lang w:val="en-US" w:eastAsia="zh-CN"/>
        </w:rPr>
        <w:t>淄博市周村区发展和改革局</w:t>
      </w:r>
      <w:r>
        <w:rPr>
          <w:rFonts w:hint="eastAsia" w:ascii="Times New Roman" w:hAnsi="仿宋" w:eastAsia="仿宋" w:cs="Times New Roman"/>
          <w:spacing w:val="1"/>
          <w:w w:val="97"/>
          <w:kern w:val="0"/>
          <w:sz w:val="30"/>
          <w:szCs w:val="30"/>
          <w:fitText w:val="7543" w:id="1152990710"/>
          <w:lang w:val="en-US" w:eastAsia="zh-CN"/>
        </w:rPr>
        <w:t xml:space="preserve">   </w:t>
      </w:r>
      <w:r>
        <w:rPr>
          <w:rFonts w:hint="eastAsia" w:hAnsi="仿宋" w:eastAsia="仿宋" w:cs="Times New Roman"/>
          <w:spacing w:val="1"/>
          <w:w w:val="97"/>
          <w:kern w:val="0"/>
          <w:sz w:val="30"/>
          <w:szCs w:val="30"/>
          <w:fitText w:val="7543" w:id="115299071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pacing w:val="1"/>
          <w:w w:val="97"/>
          <w:kern w:val="0"/>
          <w:sz w:val="32"/>
          <w:szCs w:val="32"/>
          <w:fitText w:val="7543" w:id="1152990710"/>
          <w:lang w:val="en-US" w:eastAsia="zh-CN"/>
        </w:rPr>
        <w:t>淄博市周村区自然资源</w:t>
      </w:r>
      <w:r>
        <w:rPr>
          <w:rFonts w:hint="eastAsia" w:ascii="仿宋_GB2312" w:hAnsi="仿宋_GB2312" w:eastAsia="仿宋_GB2312" w:cs="仿宋_GB2312"/>
          <w:b w:val="0"/>
          <w:bCs/>
          <w:spacing w:val="51"/>
          <w:w w:val="97"/>
          <w:kern w:val="0"/>
          <w:sz w:val="32"/>
          <w:szCs w:val="32"/>
          <w:fitText w:val="7543" w:id="1152990710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/>
          <w:spacing w:val="1"/>
          <w:w w:val="91"/>
          <w:kern w:val="0"/>
          <w:sz w:val="32"/>
          <w:szCs w:val="32"/>
          <w:fitText w:val="292" w:id="1753501617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/>
          <w:spacing w:val="1"/>
          <w:w w:val="91"/>
          <w:kern w:val="0"/>
          <w:sz w:val="32"/>
          <w:szCs w:val="32"/>
          <w:fitText w:val="292" w:id="1753501617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pacing w:val="1"/>
          <w:w w:val="87"/>
          <w:kern w:val="0"/>
          <w:sz w:val="32"/>
          <w:szCs w:val="32"/>
          <w:fitText w:val="7542" w:id="91030339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54" w:firstLineChars="200"/>
        <w:textAlignment w:val="auto"/>
        <w:rPr>
          <w:rFonts w:hint="eastAsia" w:ascii="Times New Roman" w:hAnsi="仿宋" w:eastAsia="仿宋" w:cs="Times New Roman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1"/>
          <w:w w:val="86"/>
          <w:kern w:val="0"/>
          <w:sz w:val="32"/>
          <w:szCs w:val="32"/>
          <w:fitText w:val="7540" w:id="495079807"/>
          <w:lang w:val="en-US" w:eastAsia="zh-CN"/>
        </w:rPr>
        <w:t>淄博市生态环境局周村分局</w:t>
      </w:r>
      <w:r>
        <w:rPr>
          <w:rFonts w:hint="eastAsia" w:ascii="Times New Roman" w:hAnsi="仿宋" w:eastAsia="仿宋" w:cs="Times New Roman"/>
          <w:spacing w:val="1"/>
          <w:w w:val="86"/>
          <w:kern w:val="0"/>
          <w:sz w:val="30"/>
          <w:szCs w:val="30"/>
          <w:fitText w:val="7540" w:id="495079807"/>
          <w:lang w:val="en-US" w:eastAsia="zh-CN"/>
        </w:rPr>
        <w:t xml:space="preserve">        </w:t>
      </w:r>
      <w:r>
        <w:rPr>
          <w:rFonts w:hint="eastAsia" w:hAnsi="仿宋" w:eastAsia="仿宋" w:cs="Times New Roman"/>
          <w:spacing w:val="1"/>
          <w:w w:val="86"/>
          <w:kern w:val="0"/>
          <w:sz w:val="30"/>
          <w:szCs w:val="30"/>
          <w:fitText w:val="7540" w:id="495079807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pacing w:val="1"/>
          <w:w w:val="86"/>
          <w:kern w:val="0"/>
          <w:sz w:val="32"/>
          <w:szCs w:val="32"/>
          <w:fitText w:val="7540" w:id="495079807"/>
          <w:lang w:val="en-US" w:eastAsia="zh-CN"/>
        </w:rPr>
        <w:t>淄博市周村区行政审批服务</w:t>
      </w:r>
      <w:r>
        <w:rPr>
          <w:rFonts w:hint="eastAsia" w:ascii="仿宋_GB2312" w:hAnsi="仿宋_GB2312" w:eastAsia="仿宋_GB2312" w:cs="仿宋_GB2312"/>
          <w:b w:val="0"/>
          <w:bCs/>
          <w:spacing w:val="17"/>
          <w:w w:val="86"/>
          <w:kern w:val="0"/>
          <w:sz w:val="32"/>
          <w:szCs w:val="32"/>
          <w:fitText w:val="7540" w:id="495079807"/>
          <w:lang w:val="en-US" w:eastAsia="zh-CN"/>
        </w:rPr>
        <w:t>局</w:t>
      </w:r>
      <w:r>
        <w:rPr>
          <w:rFonts w:hint="eastAsia" w:ascii="Times New Roman" w:hAnsi="仿宋" w:eastAsia="仿宋" w:cs="Times New Roman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Times New Roman" w:hAnsi="仿宋" w:eastAsia="仿宋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12" w:firstLineChars="200"/>
        <w:textAlignment w:val="auto"/>
        <w:rPr>
          <w:rFonts w:hint="eastAsia" w:ascii="仿宋_GB2312" w:hAnsi="仿宋_GB2312" w:eastAsia="仿宋_GB2312" w:cs="仿宋_GB2312"/>
          <w:b w:val="0"/>
          <w:bCs/>
          <w:spacing w:val="1"/>
          <w:w w:val="95"/>
          <w:kern w:val="0"/>
          <w:sz w:val="32"/>
          <w:szCs w:val="32"/>
          <w:fitText w:val="7552" w:id="141369197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12" w:firstLineChars="200"/>
        <w:textAlignment w:val="auto"/>
        <w:rPr>
          <w:rFonts w:hint="eastAsia" w:ascii="仿宋_GB2312" w:hAnsi="仿宋_GB2312" w:eastAsia="仿宋_GB2312" w:cs="仿宋_GB2312"/>
          <w:b w:val="0"/>
          <w:bCs/>
          <w:spacing w:val="1"/>
          <w:w w:val="95"/>
          <w:kern w:val="0"/>
          <w:sz w:val="32"/>
          <w:szCs w:val="32"/>
          <w:fitText w:val="7552" w:id="141369197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98" w:firstLineChars="200"/>
        <w:textAlignment w:val="auto"/>
        <w:rPr>
          <w:rFonts w:ascii="Times New Roman" w:hAnsi="仿宋" w:eastAsia="仿宋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pacing w:val="1"/>
          <w:w w:val="93"/>
          <w:kern w:val="0"/>
          <w:sz w:val="32"/>
          <w:szCs w:val="32"/>
          <w:fitText w:val="7552" w:id="1413691976"/>
          <w:lang w:val="en-US" w:eastAsia="zh-CN"/>
        </w:rPr>
        <w:t>国家税务总局淄博市周村区税务局</w:t>
      </w:r>
      <w:r>
        <w:rPr>
          <w:rFonts w:hint="eastAsia" w:ascii="Times New Roman" w:hAnsi="仿宋" w:eastAsia="仿宋" w:cs="Times New Roman"/>
          <w:spacing w:val="1"/>
          <w:w w:val="93"/>
          <w:kern w:val="0"/>
          <w:sz w:val="30"/>
          <w:szCs w:val="30"/>
          <w:fitText w:val="7552" w:id="1413691976"/>
          <w:lang w:val="en-US" w:eastAsia="zh-CN"/>
        </w:rPr>
        <w:t xml:space="preserve">   </w:t>
      </w:r>
      <w:r>
        <w:rPr>
          <w:rFonts w:hint="eastAsia" w:hAnsi="仿宋" w:eastAsia="仿宋" w:cs="Times New Roman"/>
          <w:spacing w:val="1"/>
          <w:w w:val="93"/>
          <w:kern w:val="0"/>
          <w:sz w:val="30"/>
          <w:szCs w:val="30"/>
          <w:fitText w:val="7552" w:id="141369197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pacing w:val="1"/>
          <w:w w:val="93"/>
          <w:kern w:val="0"/>
          <w:sz w:val="32"/>
          <w:szCs w:val="32"/>
          <w:fitText w:val="7552" w:id="1413691976"/>
          <w:lang w:val="en-US" w:eastAsia="zh-CN"/>
        </w:rPr>
        <w:t>周村规划管理办公</w:t>
      </w:r>
      <w:r>
        <w:rPr>
          <w:rFonts w:hint="eastAsia" w:ascii="仿宋_GB2312" w:hAnsi="仿宋_GB2312" w:eastAsia="仿宋_GB2312" w:cs="仿宋_GB2312"/>
          <w:b w:val="0"/>
          <w:bCs/>
          <w:spacing w:val="65"/>
          <w:w w:val="93"/>
          <w:kern w:val="0"/>
          <w:sz w:val="32"/>
          <w:szCs w:val="32"/>
          <w:fitText w:val="7552" w:id="1413691976"/>
          <w:lang w:val="en-US" w:eastAsia="zh-CN"/>
        </w:rPr>
        <w:t>室</w:t>
      </w:r>
    </w:p>
    <w:p>
      <w:pPr>
        <w:spacing w:line="560" w:lineRule="exact"/>
        <w:ind w:right="561" w:firstLine="450" w:firstLineChars="15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 xml:space="preserve">  </w:t>
      </w:r>
      <w:r>
        <w:rPr>
          <w:rFonts w:hint="eastAsia" w:eastAsia="仿宋"/>
          <w:sz w:val="30"/>
          <w:szCs w:val="30"/>
        </w:rPr>
        <w:t xml:space="preserve">  </w:t>
      </w:r>
      <w:r>
        <w:rPr>
          <w:rFonts w:eastAsia="仿宋"/>
          <w:sz w:val="30"/>
          <w:szCs w:val="30"/>
        </w:rPr>
        <w:t xml:space="preserve">   </w:t>
      </w:r>
      <w:r>
        <w:rPr>
          <w:rFonts w:hint="eastAsia" w:eastAsia="仿宋"/>
          <w:sz w:val="30"/>
          <w:szCs w:val="30"/>
        </w:rPr>
        <w:t xml:space="preserve">            </w:t>
      </w:r>
      <w:r>
        <w:rPr>
          <w:rFonts w:eastAsia="仿宋"/>
          <w:sz w:val="30"/>
          <w:szCs w:val="30"/>
        </w:rPr>
        <w:t xml:space="preserve">     </w:t>
      </w:r>
    </w:p>
    <w:p>
      <w:pPr>
        <w:spacing w:line="560" w:lineRule="exact"/>
        <w:ind w:right="561" w:firstLine="450" w:firstLineChars="150"/>
        <w:rPr>
          <w:rFonts w:eastAsia="仿宋"/>
          <w:sz w:val="30"/>
          <w:szCs w:val="30"/>
        </w:rPr>
      </w:pPr>
    </w:p>
    <w:p>
      <w:pPr>
        <w:spacing w:line="560" w:lineRule="exact"/>
        <w:ind w:right="561" w:firstLine="450" w:firstLineChars="150"/>
        <w:rPr>
          <w:rFonts w:eastAsia="仿宋"/>
          <w:sz w:val="30"/>
          <w:szCs w:val="30"/>
        </w:rPr>
      </w:pPr>
    </w:p>
    <w:p>
      <w:pPr>
        <w:spacing w:line="560" w:lineRule="exact"/>
        <w:ind w:right="561" w:firstLine="482"/>
        <w:jc w:val="center"/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eastAsia="仿宋"/>
          <w:sz w:val="30"/>
          <w:szCs w:val="30"/>
        </w:rPr>
        <w:t xml:space="preserve">                               </w:t>
      </w:r>
      <w:r>
        <w:rPr>
          <w:rFonts w:hint="eastAsia" w:eastAsia="仿宋"/>
          <w:sz w:val="30"/>
          <w:szCs w:val="30"/>
        </w:rPr>
        <w:t xml:space="preserve">                                   </w:t>
      </w:r>
      <w:r>
        <w:rPr>
          <w:rFonts w:eastAsia="仿宋"/>
          <w:sz w:val="30"/>
          <w:szCs w:val="30"/>
        </w:rPr>
        <w:t xml:space="preserve"> </w:t>
      </w:r>
      <w:r>
        <w:rPr>
          <w:rFonts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  <w:lang w:val="en-US" w:eastAsia="zh-CN"/>
        </w:rPr>
        <w:t>23</w:t>
      </w:r>
      <w:r>
        <w:rPr>
          <w:rFonts w:hAnsi="仿宋"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5</w:t>
      </w:r>
      <w:r>
        <w:rPr>
          <w:rFonts w:hAnsi="仿宋" w:eastAsia="仿宋"/>
          <w:sz w:val="32"/>
          <w:szCs w:val="32"/>
        </w:rPr>
        <w:t>月</w:t>
      </w:r>
      <w:r>
        <w:rPr>
          <w:rFonts w:hint="eastAsia" w:hAnsi="仿宋" w:eastAsia="仿宋"/>
          <w:sz w:val="32"/>
          <w:szCs w:val="32"/>
          <w:lang w:val="en-US" w:eastAsia="zh-CN"/>
        </w:rPr>
        <w:t>22日</w:t>
      </w:r>
    </w:p>
    <w:p>
      <w:pPr>
        <w:spacing w:line="560" w:lineRule="exact"/>
        <w:ind w:right="561" w:firstLine="482"/>
        <w:jc w:val="center"/>
        <w:rPr>
          <w:rFonts w:hint="eastAsia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ind w:right="561"/>
        <w:jc w:val="both"/>
        <w:rPr>
          <w:rFonts w:hint="eastAsia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ind w:right="561"/>
        <w:jc w:val="both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ab/>
      </w:r>
    </w:p>
    <w:p>
      <w:pPr>
        <w:spacing w:line="560" w:lineRule="exact"/>
        <w:rPr>
          <w:rFonts w:eastAsia="仿宋"/>
          <w:sz w:val="32"/>
        </w:rPr>
      </w:pPr>
    </w:p>
    <w:p>
      <w:pPr>
        <w:spacing w:line="560" w:lineRule="exact"/>
        <w:ind w:firstLine="160" w:firstLineChars="50"/>
        <w:rPr>
          <w:rFonts w:hint="eastAsia" w:hAnsi="仿宋" w:eastAsia="仿宋"/>
          <w:sz w:val="32"/>
        </w:rPr>
        <w:sectPr>
          <w:footerReference r:id="rId7" w:type="first"/>
          <w:footerReference r:id="rId5" w:type="default"/>
          <w:footerReference r:id="rId6" w:type="even"/>
          <w:pgSz w:w="11906" w:h="16838"/>
          <w:pgMar w:top="2041" w:right="1531" w:bottom="1701" w:left="1531" w:header="851" w:footer="1474" w:gutter="0"/>
          <w:pgNumType w:fmt="decimal" w:start="1"/>
          <w:cols w:space="720" w:num="1"/>
          <w:titlePg/>
          <w:docGrid w:type="lines" w:linePitch="312" w:charSpace="0"/>
        </w:sectPr>
      </w:pPr>
      <w:r>
        <w:rPr>
          <w:rFonts w:eastAsia="仿宋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560060" cy="0"/>
                <wp:effectExtent l="0" t="0" r="0" b="0"/>
                <wp:wrapNone/>
                <wp:docPr id="1" name="直线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72" o:spid="_x0000_s1026" o:spt="20" style="position:absolute;left:0pt;margin-left:0pt;margin-top:31.2pt;height:0pt;width:437.8pt;z-index:251659264;mso-width-relative:page;mso-height-relative:page;" filled="f" stroked="t" coordsize="21600,21600" o:gfxdata="UEsFBgAAAAAAAAAAAAAAAAAAAAAAAFBLAwQKAAAAAACHTuJAAAAAAAAAAAAAAAAABAAAAGRycy9Q&#10;SwMEFAAAAAgAh07iQI1rgvPUAAAABgEAAA8AAABkcnMvZG93bnJldi54bWxNj81OwzAQhO9IvIO1&#10;SFwqajdAqEKcHoDcuFBAXLfxkkTE6zR2f+DpWcQBjjszmvm2XB39oPY0xT6whcXcgCJuguu5tfDy&#10;XF8sQcWE7HAITBY+KcKqOj0psXDhwE+0X6dWSQnHAi10KY2F1rHpyGOch5FYvPcweUxyTq12Ex6k&#10;3A86MybXHnuWhQ5Huuuo+VjvvIVYv9K2/po1M/N22QbKtvePD2jt+dnC3IJKdEx/YfjBF3SohGkT&#10;duyiGizII8lCnl2BEnd5c52D2vwKuir1f/zqG1BLAwQUAAAACACHTuJAvjsPx9EBAACSAwAADgAA&#10;AGRycy9lMm9Eb2MueG1srVM7bhsxEO0D+A4E+2hlIXLihVYuLDtNkAiIfYARP7sE+AOH0kpnyTVS&#10;pclxfI0MKVnOpwmCqKCGnOHje29mFzd7Z9lOJTTBd/xyMuVMeRGk8X3HHx/uX7/jDDN4CTZ41fGD&#10;Qn6zvHi1GGOrZmEIVqrECMRjO8aODznHtmlQDMoBTkJUnpI6JAeZtqlvZIKR0J1tZtPpVTOGJGMK&#10;QiHS6eqY5MuKr7US+ZPWqDKzHSduua6prpuyNssFtH2COBhxogH/wMKB8fToGWoFGdg2mT+gnBEp&#10;YNB5IoJrgtZGqKqB1FxOf1PzeYCoqhYyB+PZJvx/sOLjbp2YkdQ7zjw4atHTl69P376zN29nxZ0x&#10;YktFt36dTjuM61Sk7nVy5Z9EsH119HB2VO0zE3Q4n19Rk8h48ZxrXi7GhPm9Co6VoOPW+CIWWth9&#10;wEyPUelzSTm2no0dv57P5gQHNCvaQqbQRWKPvq93MVgj74215QamfnNrE9tB6X79FUmE+0tZeWQF&#10;OBzrauo4F4MCeecly4dIvngaYF4oOCU5s4rmvUQECG0GY/+mkp62nhgUV48+lmgT5IG6sI3J9AM5&#10;kdNWVaIlSY2vlE9DWibr530Fe/mUl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jWuC89QAAAAG&#10;AQAADwAAAAAAAAABACAAAAA4AAAAZHJzL2Rvd25yZXYueG1sUEsBAhQAFAAAAAgAh07iQL47D8fR&#10;AQAAkgMAAA4AAAAAAAAAAQAgAAAAO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0060" cy="0"/>
                <wp:effectExtent l="0" t="0" r="0" b="0"/>
                <wp:wrapNone/>
                <wp:docPr id="2" name="直线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73" o:spid="_x0000_s1026" o:spt="20" style="position:absolute;left:0pt;margin-left:0pt;margin-top:0pt;height:0pt;width:437.8pt;z-index:251660288;mso-width-relative:page;mso-height-relative:page;" filled="f" stroked="t" coordsize="21600,21600" o:gfxdata="UEsFBgAAAAAAAAAAAAAAAAAAAAAAAFBLAwQKAAAAAACHTuJAAAAAAAAAAAAAAAAABAAAAGRycy9Q&#10;SwMEFAAAAAgAh07iQF5g4QHSAAAAAgEAAA8AAABkcnMvZG93bnJldi54bWxNj81OwzAQhO9IvIO1&#10;SFwqareIUoU4PQC5cWlpxXUbL0lEvE5j9weeni2XchlpNKuZb/PFyXfqQENsA1uYjA0o4iq4lmsL&#10;6/fybg4qJmSHXWCy8E0RFsX1VY6ZC0de0mGVaiUlHDO00KTUZ1rHqiGPcRx6Ysk+w+AxiR1q7QY8&#10;Srnv9NSYmfbYsiw02NNzQ9XXau8txHJDu/JnVI3Mx30daLp7eXtFa29vJuYJVKJTuhzDGV/QoRCm&#10;bdizi6qzII+kP5Vs/vgwA7U9W13k+j968QtQSwMEFAAAAAgAh07iQMt8R1PRAQAAkgMAAA4AAABk&#10;cnMvZTJvRG9jLnhtbK1TS44TMRDdI3EHy3vSmQwZhlY6s5gwbBBEgjlAxZ9uS/7J5aSTs3ANVmw4&#10;zlyDspPJ8NkgNFk4ZVf5+b1X1YubvbNspxKa4Dt+MZlyprwI0vi+4/df7l5dc4YZvAQbvOr4QSG/&#10;Wb58sRhjq2ZhCFaqxAjEYzvGjg85x7ZpUAzKAU5CVJ6SOiQHmbapb2SCkdCdbWbT6VUzhiRjCkIh&#10;0unqmOTLiq+1EvmT1qgysx0nbrmuqa6bsjbLBbR9gjgYcaIB/8HCgfH06BlqBRnYNpm/oJwRKWDQ&#10;eSKCa4LWRqiqgdRcTP9Q83mAqKoWMgfj2SZ8PljxcbdOzMiOzzjz4KhFD1+/PXz/wV6/uSzujBFb&#10;Krr163TaYVynInWvkyv/JILtq6OHs6Nqn5mgw/n8ippExovHXPN0MSbM71VwrAQdt8YXsdDC7gNm&#10;eoxKH0vKsfVs7Pjb+WxOcECzoi1kCl0k9uj7eheDNfLOWFtuYOo3tzaxHZTu11+RRLi/lZVHVoDD&#10;sa6mjnMxKJDvvGT5EMkXTwPMCwWnJGdW0byXiAChzWDsv1TS09YTg+Lq0ccSbYI8UBe2MZl+ICdy&#10;2qpKtCSp8ZXyaUjLZP26r2BPn9L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F5g4QHSAAAAAgEA&#10;AA8AAAAAAAAAAQAgAAAAOAAAAGRycy9kb3ducmV2LnhtbFBLAQIUABQAAAAIAIdO4kDLfEdT0QEA&#10;AJIDAAAOAAAAAAAAAAEAIAAAAD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Ansi="仿宋" w:eastAsia="仿宋"/>
          <w:sz w:val="32"/>
        </w:rPr>
        <w:t>淄博市周村</w:t>
      </w:r>
      <w:r>
        <w:rPr>
          <w:rFonts w:hint="eastAsia" w:hAnsi="仿宋" w:eastAsia="仿宋"/>
          <w:sz w:val="32"/>
        </w:rPr>
        <w:t>区自然资源</w:t>
      </w:r>
      <w:r>
        <w:rPr>
          <w:rFonts w:hAnsi="仿宋" w:eastAsia="仿宋"/>
          <w:sz w:val="32"/>
        </w:rPr>
        <w:t>局</w:t>
      </w:r>
      <w:r>
        <w:rPr>
          <w:rFonts w:hint="eastAsia" w:hAnsi="仿宋" w:eastAsia="仿宋"/>
          <w:sz w:val="32"/>
        </w:rPr>
        <w:t xml:space="preserve">     </w:t>
      </w:r>
      <w:r>
        <w:rPr>
          <w:rFonts w:eastAsia="仿宋"/>
          <w:sz w:val="32"/>
        </w:rPr>
        <w:t xml:space="preserve"> </w:t>
      </w:r>
      <w:r>
        <w:rPr>
          <w:rFonts w:hint="eastAsia" w:eastAsia="仿宋"/>
          <w:sz w:val="32"/>
        </w:rPr>
        <w:t xml:space="preserve"> </w:t>
      </w:r>
      <w:r>
        <w:rPr>
          <w:rFonts w:eastAsia="仿宋"/>
          <w:sz w:val="32"/>
        </w:rPr>
        <w:t xml:space="preserve">       </w:t>
      </w:r>
      <w:r>
        <w:rPr>
          <w:rFonts w:hint="eastAsia" w:eastAsia="仿宋"/>
          <w:sz w:val="32"/>
        </w:rPr>
        <w:t xml:space="preserve">         </w:t>
      </w:r>
      <w:r>
        <w:rPr>
          <w:rFonts w:eastAsia="仿宋"/>
          <w:sz w:val="32"/>
        </w:rPr>
        <w:t>20</w:t>
      </w:r>
      <w:r>
        <w:rPr>
          <w:rFonts w:hint="eastAsia" w:eastAsia="仿宋"/>
          <w:sz w:val="32"/>
          <w:lang w:val="en-US" w:eastAsia="zh-CN"/>
        </w:rPr>
        <w:t>23</w:t>
      </w:r>
      <w:r>
        <w:rPr>
          <w:rFonts w:hAnsi="仿宋" w:eastAsia="仿宋"/>
          <w:sz w:val="32"/>
        </w:rPr>
        <w:t>年</w:t>
      </w:r>
      <w:r>
        <w:rPr>
          <w:rFonts w:hint="eastAsia" w:eastAsia="仿宋"/>
          <w:sz w:val="32"/>
        </w:rPr>
        <w:t>5</w:t>
      </w:r>
      <w:r>
        <w:rPr>
          <w:rFonts w:hAnsi="仿宋" w:eastAsia="仿宋"/>
          <w:sz w:val="32"/>
        </w:rPr>
        <w:t>月</w:t>
      </w:r>
      <w:r>
        <w:rPr>
          <w:rFonts w:hint="eastAsia" w:hAnsi="仿宋" w:eastAsia="仿宋"/>
          <w:sz w:val="32"/>
          <w:lang w:val="en-US" w:eastAsia="zh-CN"/>
        </w:rPr>
        <w:t>22</w:t>
      </w:r>
      <w:r>
        <w:rPr>
          <w:rFonts w:hAnsi="仿宋" w:eastAsia="仿宋"/>
          <w:sz w:val="32"/>
        </w:rPr>
        <w:t>日印发</w:t>
      </w:r>
      <w:r>
        <w:rPr>
          <w:rFonts w:hint="eastAsia" w:hAnsi="仿宋" w:eastAsia="仿宋"/>
          <w:sz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周村区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工业</w:t>
      </w: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用地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“标准地”</w:t>
      </w: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控制性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指标</w:t>
      </w: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（试行）</w:t>
      </w:r>
    </w:p>
    <w:tbl>
      <w:tblPr>
        <w:tblStyle w:val="4"/>
        <w:tblpPr w:leftFromText="180" w:rightFromText="180" w:vertAnchor="text" w:horzAnchor="margin" w:tblpXSpec="center" w:tblpY="691"/>
        <w:tblOverlap w:val="never"/>
        <w:tblW w:w="13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570"/>
        <w:gridCol w:w="1815"/>
        <w:gridCol w:w="2330"/>
        <w:gridCol w:w="1100"/>
        <w:gridCol w:w="1938"/>
        <w:gridCol w:w="3387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代码</w:t>
            </w: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固定资产投资强度</w:t>
            </w:r>
          </w:p>
          <w:p>
            <w:pPr>
              <w:pStyle w:val="9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（万元/亩）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容积率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亩均税收 （万元/亩）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pStyle w:val="1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单位能耗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标准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单位排放增加值</w:t>
            </w:r>
          </w:p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（万元/吨）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二类地区控制值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控制值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控制值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控制值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控制标准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农副食品加工业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≥120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≥1.0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≥7.5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14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食品制造业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≥215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≥1.0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≥20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15</w:t>
            </w: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酒、饮料和精制茶制造业</w:t>
            </w:r>
          </w:p>
        </w:tc>
        <w:tc>
          <w:tcPr>
            <w:tcW w:w="2330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≥215</w:t>
            </w: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≥1.0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酒、饮料</w:t>
            </w:r>
          </w:p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制造业≥20</w:t>
            </w:r>
          </w:p>
        </w:tc>
        <w:tc>
          <w:tcPr>
            <w:tcW w:w="3387" w:type="dxa"/>
            <w:vMerge w:val="restart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30" w:type="dxa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精制茶</w:t>
            </w:r>
          </w:p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制造业≥7.5</w:t>
            </w:r>
          </w:p>
        </w:tc>
        <w:tc>
          <w:tcPr>
            <w:tcW w:w="3387" w:type="dxa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6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纺织业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≥215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≥1.0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≥15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7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纺织服装、服饰业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≥215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≥1.2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≥15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8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皮革、毛皮、羽毛及其制品和制鞋业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≥215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≥1.0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≥20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312</w:t>
            </w:r>
          </w:p>
        </w:tc>
      </w:tr>
    </w:tbl>
    <w:p>
      <w:pPr>
        <w:spacing w:line="560" w:lineRule="exact"/>
        <w:ind w:firstLine="160" w:firstLineChars="50"/>
        <w:jc w:val="center"/>
        <w:rPr>
          <w:rFonts w:hint="eastAsia" w:hAnsi="仿宋" w:eastAsia="仿宋"/>
          <w:sz w:val="32"/>
        </w:rPr>
      </w:pPr>
    </w:p>
    <w:p>
      <w:pPr>
        <w:spacing w:line="560" w:lineRule="exact"/>
        <w:ind w:firstLine="160" w:firstLineChars="50"/>
        <w:jc w:val="center"/>
        <w:rPr>
          <w:rFonts w:hint="eastAsia" w:hAnsi="仿宋" w:eastAsia="仿宋"/>
          <w:sz w:val="32"/>
          <w:lang w:eastAsia="zh-CN"/>
        </w:rPr>
      </w:pPr>
    </w:p>
    <w:p>
      <w:pPr>
        <w:pStyle w:val="9"/>
        <w:jc w:val="left"/>
        <w:rPr>
          <w:rFonts w:hint="eastAsia" w:ascii="宋体" w:hAnsi="宋体" w:eastAsia="宋体" w:cs="宋体"/>
          <w:sz w:val="24"/>
        </w:rPr>
        <w:sectPr>
          <w:footerReference r:id="rId8" w:type="default"/>
          <w:footerReference r:id="rId9" w:type="even"/>
          <w:pgSz w:w="16838" w:h="11906" w:orient="landscape"/>
          <w:pgMar w:top="1797" w:right="1440" w:bottom="1797" w:left="1440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55"/>
        <w:gridCol w:w="1815"/>
        <w:gridCol w:w="2303"/>
        <w:gridCol w:w="1112"/>
        <w:gridCol w:w="1938"/>
        <w:gridCol w:w="3400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pStyle w:val="9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序号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代码</w:t>
            </w: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行业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固定资产投资强度</w:t>
            </w:r>
          </w:p>
          <w:p>
            <w:pPr>
              <w:pStyle w:val="9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（万元/亩）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容积率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亩均税收   （万元/亩）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单位能耗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标准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单位排放增加值</w:t>
            </w:r>
          </w:p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（万元/吨）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30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二类地区控制值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控制值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控制值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控制值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控制标准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19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木材加工和木、竹、藤、粽、草制品业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≥195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≥1.0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≥12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9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家具制造业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≥215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≥1.0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≥10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1818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造纸和纸制品业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≥215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≥1.0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≥12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11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印刷和记录媒介复制业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≥240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≥1.0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≥20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12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文教、工美、体育和娱乐用品制造业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≥220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≥1.1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≥15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13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4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石油、煤炭及其燃料加工业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≥250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9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1.0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≥60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14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化学燃料和化学制品制造业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≥250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1.0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≥17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15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6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医药制造业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≥360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1.0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≥20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1060</w:t>
            </w:r>
          </w:p>
        </w:tc>
      </w:tr>
    </w:tbl>
    <w:p>
      <w:pPr>
        <w:pStyle w:val="9"/>
        <w:jc w:val="center"/>
        <w:rPr>
          <w:rFonts w:hint="eastAsia" w:ascii="仿宋_GB2312" w:hAnsi="宋体" w:eastAsia="仿宋_GB2312" w:cs="宋体"/>
          <w:sz w:val="24"/>
        </w:rPr>
        <w:sectPr>
          <w:footerReference r:id="rId10" w:type="default"/>
          <w:pgSz w:w="16838" w:h="11906" w:orient="landscape"/>
          <w:pgMar w:top="1797" w:right="1440" w:bottom="1797" w:left="1440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4"/>
        <w:tblpPr w:leftFromText="180" w:rightFromText="180" w:vertAnchor="text" w:horzAnchor="margin" w:tblpXSpec="center" w:tblpY="177"/>
        <w:tblOverlap w:val="never"/>
        <w:tblW w:w="13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70"/>
        <w:gridCol w:w="1815"/>
        <w:gridCol w:w="2290"/>
        <w:gridCol w:w="1138"/>
        <w:gridCol w:w="1937"/>
        <w:gridCol w:w="3375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序号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代码</w:t>
            </w: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行业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固定资产投资强度</w:t>
            </w:r>
          </w:p>
          <w:p>
            <w:pPr>
              <w:pStyle w:val="9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（万元/亩）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容积率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亩均税收</w:t>
            </w:r>
          </w:p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（万元/亩）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单位能耗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标准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单位排放增加值</w:t>
            </w:r>
          </w:p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（万元/吨）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二类地区控制值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控制值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控制值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控制值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控制标准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16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7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化学纤维制造业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360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1.0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16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17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8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橡胶和塑料制品业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200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1.0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15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18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29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非金属矿物制品业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210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1.0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12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19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黑色金属冶炼和压延加工业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280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1.0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14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有色金属冶炼和压延加工业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290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1.0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24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21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金属制品业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265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1.0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16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22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通用设备制造业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270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1.0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19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2267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23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4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专用设备制造业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270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1.0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15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4660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24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汽车制造业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260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1.0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30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3567</w:t>
            </w:r>
          </w:p>
        </w:tc>
      </w:tr>
    </w:tbl>
    <w:p>
      <w:pPr>
        <w:pStyle w:val="9"/>
        <w:jc w:val="left"/>
        <w:rPr>
          <w:rFonts w:ascii="宋体" w:hAnsi="宋体" w:cs="宋体"/>
          <w:sz w:val="24"/>
        </w:rPr>
      </w:pPr>
    </w:p>
    <w:p>
      <w:pPr>
        <w:pStyle w:val="9"/>
        <w:jc w:val="center"/>
        <w:rPr>
          <w:rFonts w:hint="eastAsia" w:ascii="仿宋_GB2312" w:hAnsi="宋体" w:eastAsia="仿宋_GB2312" w:cs="宋体"/>
          <w:sz w:val="24"/>
        </w:rPr>
        <w:sectPr>
          <w:footerReference r:id="rId11" w:type="default"/>
          <w:pgSz w:w="16838" w:h="11906" w:orient="landscape"/>
          <w:pgMar w:top="1797" w:right="1440" w:bottom="1797" w:left="1440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Spec="center" w:tblpY="50"/>
        <w:tblOverlap w:val="never"/>
        <w:tblW w:w="13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538"/>
        <w:gridCol w:w="1787"/>
        <w:gridCol w:w="2313"/>
        <w:gridCol w:w="1112"/>
        <w:gridCol w:w="1963"/>
        <w:gridCol w:w="315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497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序号</w:t>
            </w:r>
          </w:p>
        </w:tc>
        <w:tc>
          <w:tcPr>
            <w:tcW w:w="538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代码</w:t>
            </w:r>
          </w:p>
        </w:tc>
        <w:tc>
          <w:tcPr>
            <w:tcW w:w="1787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行业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固定资产投资强度</w:t>
            </w:r>
          </w:p>
          <w:p>
            <w:pPr>
              <w:pStyle w:val="9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（万元/亩）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容积率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亩均税收</w:t>
            </w:r>
          </w:p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（万元/亩）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单位能耗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标准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单位排放增加值</w:t>
            </w:r>
          </w:p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（万元/吨）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38" w:type="dxa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87" w:type="dxa"/>
            <w:vMerge w:val="continue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二类地区控制值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控制值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控制值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控制值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控制标准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25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6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铁路、船舶、航空航天和其他运输设备制造业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275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1.0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16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pStyle w:val="13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49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26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7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电气机械和器材制造业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280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1.0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18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9997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49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27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38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计算机、通信和电子设备制造业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380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1.2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26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5275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49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28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39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仪器仪表制造业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295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1.2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32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pStyle w:val="13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49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29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0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其他制造业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195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1.0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15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9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30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废弃资源综合利用业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195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1.0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pStyle w:val="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sz w:val="24"/>
              </w:rPr>
              <w:t>12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pStyle w:val="12"/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执行国家或省能耗限额标准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pStyle w:val="13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541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hAnsi="仿宋" w:eastAsia="仿宋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在全区各类开发区、产业园区、产业集聚基地范围内对工业类（含新型产业项目）、仓储类、研发总部类用地推行“标准地”制度，须核准的或特殊管理的项目除外。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.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</w:rPr>
        <w:t>国家级开发区、省级开发区、其他工业集中区新建工业项目平均投资强度一般应分别不低于350万元/亩、280万元/亩、220万元/亩，亩均税收一般分别不低于30万元/亩、20万元/亩、15万元/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亩。</w:t>
      </w:r>
    </w:p>
    <w:sectPr>
      <w:footerReference r:id="rId14" w:type="first"/>
      <w:footerReference r:id="rId12" w:type="default"/>
      <w:footerReference r:id="rId13" w:type="even"/>
      <w:pgSz w:w="16838" w:h="11906" w:orient="landscape"/>
      <w:pgMar w:top="1531" w:right="2041" w:bottom="1531" w:left="1701" w:header="851" w:footer="1474" w:gutter="0"/>
      <w:pgNumType w:fmt="decimal" w:start="1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aVq7HgIAACs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U4p0azBjE7fvp6+/zz9&#10;+ELwBoBa6+fwe7LwDN0b0xU0uL0YTB7vsfVOuibeaIrABWgfLwiLLhCOx/FsMpvlMHHYBgUpsut3&#10;63x4K0xDolBQhxEmZNlh48PZdXCJ2bRZ10qlMSpN2oLeTF/n6cPFguBKI0fs41xslEK37frmtqY8&#10;ojdnzvTwlq9rJN8wHx6ZAx9QMDgeHnBIZZDE9BIllXGf//Ye/TEmWClpwa+CaiwAJeqdxvgiFQfB&#10;DcJ2EPS+uTMg7Bi7Y3kS8cEFNYjSmeYTiL+KOSRTHoGZ5siG0QziXYDWG7FAXKxWF31vXb2rrp9B&#10;RsvCRj9Z3g83Yuvtah+Ab4I9YnYGqocSjEyD67cnUv5XPXldd3z5D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LNJWO7QAAAABQEAAA8AAAAAAAAAAQAgAAAAOAAAAGRycy9kb3ducmV2LnhtbFBLAQIU&#10;ABQAAAAIAIdO4kAkaVq7HgIAACsEAAAOAAAAAAAAAAEAIAAAADU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3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>3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10160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6</w:t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8pt;margin-top:0pt;height:144pt;width:144pt;mso-position-horizontal-relative:margin;mso-wrap-style:none;z-index:251673600;mso-width-relative:page;mso-height-relative:page;" filled="f" stroked="f" coordsize="21600,21600" o:gfxdata="UEsFBgAAAAAAAAAAAAAAAAAAAAAAAFBLAwQKAAAAAACHTuJAAAAAAAAAAAAAAAAABAAAAGRycy9Q&#10;SwMEFAAAAAgAh07iQDHXFo3SAAAABgEAAA8AAABkcnMvZG93bnJldi54bWxNj8FOwzAQRO9I/IO1&#10;SNyo04KqEOJUoiIckWh64OjGS5LWXke2m4a/Z3uC245mNPum3MzOiglDHDwpWC4yEEitNwN1CvZN&#10;/ZCDiEmT0dYTKvjBCJvq9qbUhfEX+sRplzrBJRQLraBPaSykjG2PTseFH5HY+/bB6cQydNIEfeFy&#10;Z+Uqy9bS6YH4Q69H3PbYnnZnp2BbN02YMAb7he/14/Hj9QnfZqXu75bZC4iEc/oLwxWf0aFipoM/&#10;k4nCsl5zUAHvYXOVP7M8XI88A1mV8j9+9QtQSwMEFAAAAAgAh07iQG8D8CEdAgAAKwQAAA4AAABk&#10;cnMvZTJvRG9jLnhtbK1TzY7TMBC+I/EOlu80adGuqqrpquyqCKliVyqIs+vYTST/yXablAeAN+DE&#10;hTvP1efYz2nSIuCEuNgznvH8fPPN/K7VihyED7U1BR2PckqE4basza6gHz+sXk0pCZGZkilrREGP&#10;ItC7xcsX88bNxMRWVpXCEwQxYda4glYxulmWBV4JzcLIOmFglNZrFqH6XVZ61iC6Vtkkz2+zxvrS&#10;ectFCHh9OBvpoosvpeDxUcogIlEFRW2xO313btOZLeZstvPMVTXvy2D/UIVmtUHSS6gHFhnZ+/qP&#10;ULrm3gYr44hbnVkpay66HtDNOP+tm03FnOh6ATjBXWAK/y8sf3948qQuMbsbSgzTmNHp29fT95+n&#10;H18I3gBQ48IMfhsHz9i+sW1Bo9+LwRTwnlpvpdfpRlMELkD7eEFYtJFwPI6nk+k0h4nDNihIkV2/&#10;Ox/iW2E1SUJBPUbYIcsO6xDProNLymbsqlaqG6MypCno7eubvPtwsSC4MsiR+jgXm6TYbtu+ua0t&#10;j+jN2zM9guOrGsnXLMQn5sEHFAyOx0ccUlkksb1ESWX957+9J3+MCVZKGvCroAYLQIl6ZzC+RMVB&#10;8IOwHQSz1/cWhB1jdxzvRHzwUQ2i9FZ/AvGXKYdkKiAwMxzZMJpBvI/QeiMWiIvl8qLvna931fUz&#10;yOhYXJuN4/1wE7bBLfcR+HawJ8zOQPVQgpHd4PrtSZT/Ve+8rju+e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Ax1xaN0gAAAAYBAAAPAAAAAAAAAAEAIAAAADgAAABkcnMvZG93bnJldi54bWxQSwEC&#10;FAAUAAAACACHTuJAbwPwIR0CAAArBAAADgAAAAAAAAABACAAAAA3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6</w:t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5715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45pt;margin-top:0pt;height:144pt;width:144pt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KYXXfDRAAAABQEAAA8AAABkcnMvZG93bnJldi54bWxNj8FOwzAQRO9I/IO1&#10;SNyo3YJQCHEqURGOSDQcOLrxkgTsdWS7afh7Fi5w29GMZt9U28U7MWNMYyAN65UCgdQFO1Kv4bVt&#10;rgoQKRuyxgVCDV+YYFufn1WmtOFELzjvcy+4hFJpNAw5T6WUqRvQm7QKExJ77yF6k1nGXtpoTlzu&#10;ndwodSu9GYk/DGbC3YDd5/7oNeyato0zpuje8Km5/nh+uMHHRevLi7W6B5FxyX9h+MFndKiZ6RCO&#10;ZJNwGu44p4HnsLcpCpaH30OBrCv5n77+BlBLAwQUAAAACACHTuJASQizEBwCAAApBAAADgAAAGRy&#10;cy9lMm9Eb2MueG1srVPNjtMwEL4j8Q6W7zRpWVZV1XRVdlWEVLErFcTZdZwmkv9ku03KA8AbcOLC&#10;nefqc/DZTVoEnBAXe8Yznp9vvpnfdUqSg3C+Mbqg41FOidDclI3eFfTD+9WLKSU+MF0yabQo6FF4&#10;erd4/mze2pmYmNrIUjiCINrPWlvQOgQ7yzLPa6GYHxkrNIyVcYoFqG6XlY61iK5kNsnz26w1rrTO&#10;cOE9Xh/ORrpI8atK8PBYVV4EIguK2kI6XTq38cwWczbbOWbrhvdlsH+oQrFGI+kl1AMLjOxd80co&#10;1XBnvKnCiBuVmapquEg9oJtx/ls3m5pZkXoBON5eYPL/Lyx/d3hypCkLekOJZgojOn39cvr24/T9&#10;M7mJ8LTWz+C1sfAL3WvTFTS4vRhMHu+x8a5yKt5oicAFWB8v+IouEI7H8XQyneYwcdgGBSmy63fr&#10;fHgjjCJRKKjDABOu7LD24ew6uMRs2qwaKdMQpSZtQW9fvsrTh4sFwaVGjtjHudgohW7b9c1tTXlE&#10;b86cyeEtXzVIvmY+PDEHNqBgMDw84qikQRLTS5TUxn3623v0x5BgpaQFuwqqQX9K5FuN4UUiDoIb&#10;hO0g6L26N6DrGJtjeRLxwQU5iJUz6iNov4w5KiY9AjPNkQ2jGcT7AK03Yn24WC4v+t66ZldfP4OK&#10;loW13ljeDzdi6+1yH4Bvgj1idgaqhxJ8TIPrdycS/lc9eV03fP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phdd8NEAAAAFAQAADwAAAAAAAAABACAAAAA4AAAAZHJzL2Rvd25yZXYueG1sUEsBAhQA&#10;FAAAAAgAh07iQEkIsxAcAgAAKQQAAA4AAAAAAAAAAQAgAAAANg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-1270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1pt;margin-top:0pt;height:144pt;width:144pt;mso-position-horizontal-relative:margin;mso-wrap-style:none;z-index:251668480;mso-width-relative:page;mso-height-relative:page;" filled="f" stroked="f" coordsize="21600,21600" o:gfxdata="UEsFBgAAAAAAAAAAAAAAAAAAAAAAAFBLAwQKAAAAAACHTuJAAAAAAAAAAAAAAAAABAAAAGRycy9Q&#10;SwMEFAAAAAgAh07iQDtRBpDTAAAABgEAAA8AAABkcnMvZG93bnJldi54bWxNj8FOwzAQRO9I/IO1&#10;SNxapwFBFOJUoiIckWh64OjGSxKw15HtpuHv2Z7gtqMZzb6ptouzYsYQR08KNusMBFLnzUi9gkPb&#10;rAoQMWky2npCBT8YYVtfX1W6NP5M7zjvUy+4hGKpFQwpTaWUsRvQ6bj2ExJ7nz44nViGXpqgz1zu&#10;rMyz7EE6PRJ/GPSEuwG77/3JKdg1bRtmjMF+4Gtz9/X2fI8vi1K3N5vsCUTCJf2F4YLP6FAz09Gf&#10;yERhFaxyDirgPWzmxSPvOF6OIgNZV/I/fv0LUEsDBBQAAAAIAIdO4kDiMuAOGwIAACkEAAAOAAAA&#10;ZHJzL2Uyb0RvYy54bWytU0uOEzEQ3SNxB8t70kkQoyhKZxRmFIQUMSMNiLXjttMt+SfbSXc4ANyA&#10;FRv2nCvn4NnpThCwQmzsKle5Pq9eLW47rchB+NBYU9LJaEyJMNxWjdmV9MP79YsZJSEyUzFljSjp&#10;UQR6u3z+bNG6uZja2qpKeIIgJsxbV9I6RjcvisBroVkYWScMjNJ6zSJUvysqz1pE16qYjsc3RWt9&#10;5bzlIgS83p+NdJnjSyl4fJAyiEhUSVFbzKfP5zadxXLB5jvPXN3wvgz2D1Vo1hgkvYS6Z5GRvW/+&#10;CKUb7m2wMo641YWVsuEi94BuJuPfunmqmRO5F4AT3AWm8P/C8neHR0+aqqQYlGEaIzp9/XL69uP0&#10;/TOZJXhaF+bwenLwi91r25U0+r0YTAHvqfFOep1utETgAqyPF3xFFwnH42Q2nc3GMHHYBgUpiut3&#10;50N8I6wmSSipxwAzruywCfHsOrikbMauG6XyEJUhbUlvXr4a5w8XC4Irgxypj3OxSYrdtuub29rq&#10;iN68PZMjOL5ukHzDQnxkHmxAwWB4fMAhlUUS20uU1NZ/+tt78seQYKWkBbtKakB/StRbg+ElIg6C&#10;H4TtIJi9vrOg6wSb43gW8cFHNYjSW/0RtF+lHJKpgMDMcGTDaAbxLkLrjVgfLlari753vtnV18+g&#10;omNxY54c74ebsA1utY/AN8OeMDsD1UMJPubB9buTCP+rnr2uG778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DtRBpDTAAAABgEAAA8AAAAAAAAAAQAgAAAAOAAAAGRycy9kb3ducmV2LnhtbFBLAQIU&#10;ABQAAAAIAIdO4kDiMuAOGwIAACkEAAAOAAAAAAAAAAEAIAAAADg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8510905</wp:posOffset>
              </wp:positionH>
              <wp:positionV relativeFrom="paragraph">
                <wp:posOffset>-247650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0.15pt;margin-top:-19.5pt;height:144pt;width:144pt;mso-position-horizontal-relative:margin;mso-wrap-style:none;z-index:251670528;mso-width-relative:page;mso-height-relative:page;" filled="f" stroked="f" coordsize="21600,21600" o:gfxdata="UEsFBgAAAAAAAAAAAAAAAAAAAAAAAFBLAwQKAAAAAACHTuJAAAAAAAAAAAAAAAAABAAAAGRycy9Q&#10;SwMEFAAAAAgAh07iQFzmiPnYAAAADQEAAA8AAABkcnMvZG93bnJldi54bWxNj81OwzAQhO9IvIO1&#10;SNxau0lUlRCnEhXhiETDgaMbL0nAP5HtpuHt2Z7gOLOfZmeq/WINmzHE0TsJm7UAhq7zenS9hPe2&#10;We2AxaScVsY7lPCDEfb17U2lSu0v7g3nY+oZhbhYKglDSlPJeewGtCqu/YSObp8+WJVIhp7roC4U&#10;bg3PhNhyq0ZHHwY14WHA7vt4thIOTduGGWMwH/jS5F+vTwU+L1Le323EI7CES/qD4VqfqkNNnU7+&#10;7HRkhnReiJxYCav8gVZdkW22I+skISvI4nXF/6+ofwFQSwMEFAAAAAgAh07iQGQA+L8aAgAAKwQA&#10;AA4AAABkcnMvZTJvRG9jLnhtbK1Ty47TMBTdI/EPlvc0bRGjqmo6KjMqQqqYkQbE2nXsJpJfst0m&#10;5QPgD1ixYc939Ts4dpMWASvExr4v38c514vbTityED401pR0MhpTIgy3VWN2Jf3wfv1iRkmIzFRM&#10;WSNKehSB3i6fP1u0bi6mtraqEp4giQnz1pW0jtHNiyLwWmgWRtYJA6e0XrMI1e+KyrMW2bUqpuPx&#10;TdFaXzlvuQgB1vuzky5zfikFjw9SBhGJKil6i/n0+dyms1gu2Hznmasb3rfB/qELzRqDopdU9ywy&#10;svfNH6l0w70NVsYRt7qwUjZc5BkwzWT82zRPNXMizwJwgrvAFP5fWv7u8OhJU4G7CSWGaXB0+vrl&#10;9O3H6ftnAhsAal2YI+7JITJ2r21X0uj3YnAF2NPonfQ63RiKIARoHy8Iiy4SDuNkNp3NxnBx+AYF&#10;JYrrc+dDfCOsJkkoqQeFGVl22IR4Dh1CUjVj141SmUZlSFvSm5evxvnBxYPkyqBGmuPcbJJit+36&#10;4ba2OmI2b8/rERxfNyi+YSE+Mo99QMPY8fiAQyqLIraXKKmt//Q3e4oHTfBS0mK/SmrwAShRbw3o&#10;S6s4CH4QtoNg9vrOYmHBCHrJIh74qAZReqs/YvFXqYZkKiAxMxzVQM0g3kVovRMfiIvV6qLvnW92&#10;9fUxltGxuDFPjvfkJmyDW+0j8M2wJ8zOQPVQYiMzcf3vSSv/q56jrn98+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Bc5oj52AAAAA0BAAAPAAAAAAAAAAEAIAAAADgAAABkcnMvZG93bnJldi54bWxQ&#10;SwECFAAUAAAACACHTuJAZAD4vxoCAAArBAAADgAAAAAAAAABACAAAAA9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155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BgkQdHQIAACsEAAAOAAAAZHJz&#10;L2Uyb0RvYy54bWytU82O0zAQviPxDpbvNGlXrKqq6arsqgipYlcqiLPr2E0k/8l2m5QHgDfgxIU7&#10;z9Xn2M9p0iLghLjYM57x/Hzzzfyu1YochA+1NQUdj3JKhOG2rM2uoB8/rF5NKQmRmZIpa0RBjyLQ&#10;u8XLF/PGzcTEVlaVwhMEMWHWuIJWMbpZlgVeCc3CyDphYJTWaxah+l1WetYgulbZJM9vs8b60nnL&#10;RQh4fTgb6aKLL6Xg8VHKICJRBUVtsTt9d27TmS3mbLbzzFU178tg/1CFZrVB0kuoBxYZ2fv6j1C6&#10;5t4GK+OIW51ZKWsuuh7QzTj/rZtNxZzoegE4wV1gCv8vLH9/ePKkLjG7G0oM05jR6dvX0/efpx9f&#10;CN4AUOPCDH4bB8/YvrFtQaPfi8EU8J5ab6XX6UZTBC5A+3hBWLSRcDyOp5PpNIeJwzYoSJFdvzsf&#10;4lthNUlCQT1G2CHLDusQz66DS8pm7KpWqhujMqQp6O3N67z7cLEguDLIkfo4F5uk2G7bvrmtLY/o&#10;zdszPYLjqxrJ1yzEJ+bBBxQMjsdHHFJZJLG9REll/ee/vSd/jAlWShrwq6AGC0CJemcwvkTFQfCD&#10;sB0Es9f3FoQdY3cc70R88FENovRWfwLxlymHZCogMDMc2TCaQbyP0HojFoiL5fKi752vd9X1M8jo&#10;WFybjeP9cBO2wS33Efh2sCfMzkD1UIKR3eD67UmU/1XvvK47vng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MGCRB0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3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YHlk5HgIAACsEAAAOAAAAZHJz&#10;L2Uyb0RvYy54bWytU82O0zAQviPxDpbvNGnRrqqq6arsqgipYlcqiLPr2E0kx7Zst0l5AHgDTly4&#10;81x9jv3sJi0CToiLPeMZz88338zvukaRg3C+Nrqg41FOidDclLXeFfTjh9WrKSU+MF0yZbQo6FF4&#10;erd4+WLe2pmYmMqoUjiCINrPWlvQKgQ7yzLPK9EwPzJWaBilcQ0LUN0uKx1rEb1R2STPb7PWuNI6&#10;w4X3eH04G+kixZdS8PAopReBqIKitpBOl85tPLPFnM12jtmq5n0Z7B+qaFitkfQS6oEFRvau/iNU&#10;U3NnvJFhxE2TGSlrLlIP6Gac/9bNpmJWpF4AjrcXmPz/C8vfH54cqcuCTm4o0azBjE7fvp6+/zz9&#10;+ELwBoBa62fw21h4hu6N6Qoa3F4MJo/32HonXRNvNEXgArSPF4RFFwjH43g6mU5zmDhsg4IU2fW7&#10;dT68FaYhUSiowwgTsuyw9uHsOrjEbNqsaqXSGJUmbUFvX9/k6cPFguBKI0fs41xslEK37frmtqY8&#10;ojdnzvTwlq9qJF8zH56YAx9QMDgeHnFIZZDE9BIllXGf//Ye/TEmWClpwa+CaiwAJeqdxvgiFQfB&#10;DcJ2EPS+uTcg7Bi7Y3kS8cEFNYjSmeYTiL+MOSRTHoGZ5siG0QzifYDWG7FAXCyXF31vXb2rrp9B&#10;RsvCWm8s74cbsfV2uQ/AN8EeMTsD1UMJRqbB9dsTKf+rnryuO754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LNJWO7QAAAABQEAAA8AAAAAAAAAAQAgAAAAOAAAAGRycy9kb3ducmV2LnhtbFBLAQIU&#10;ABQAAAAIAIdO4kBYHlk5HgIAACsEAAAOAAAAAAAAAAEAIAAAADU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>3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257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dwRadHQIAACsEAAAOAAAAZHJz&#10;L2Uyb0RvYy54bWytU82O0zAQviPxDpbvNGmBVVU1XZVdFSFV7EoFcXYdu4nkP9luk/IA8AacuHDf&#10;5+pz8DlNWgScEBd7xjOen2++md+2WpGD8KG2pqDjUU6JMNyWtdkV9OOH1YspJSEyUzJljSjoUQR6&#10;u3j+bN64mZjYyqpSeIIgJswaV9AqRjfLssAroVkYWScMjNJ6zSJUv8tKzxpE1yqb5PlN1lhfOm+5&#10;CAGv92cjXXTxpRQ8PkgZRCSqoKgtdqfvzm06s8WczXaeuarmfRnsH6rQrDZIegl1zyIje1//EUrX&#10;3NtgZRxxqzMrZc1F1wO6Gee/dbOpmBNdLwAnuAtM4f+F5e8Pj57UJWb3ihLDNGZ0+vb19P3p9OML&#10;wRsAalyYwW/j4BnbN7YtaPR7MZgC3lPrrfQ63WiKwAVoHy8IizYSjsfxdDKd5jBx2AYFKbLrd+dD&#10;fCusJkkoqMcIO2TZYR3i2XVwSdmMXdVKdWNUhjQFvXn5Ou8+XCwIrgxypD7OxSYpttu2b25ryyN6&#10;8/ZMj+D4qkbyNQvxkXnwAQWD4/EBh1QWSWwvUVJZ//lv78kfY4KVkgb8KqjBAlCi3hmML1FxEPwg&#10;bAfB7PWdBWHH2B3HOxEffFSDKL3Vn0D8ZcohmQoIzAxHNoxmEO8itN6IBeJiubzoe+frXXX9DDI6&#10;Ftdm43g/3IRtcMt9BL4d7AmzM1A9lGBkN7h+exLlf9U7r+uOL3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B3BFp0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9nOWbHQIAACsEAAAOAAAAZHJz&#10;L2Uyb0RvYy54bWytU82O0zAQviPxDpbvNGkRS1U1XZVdFSFV7EoFcXYdu4nkP9luk/IA8AacuHDf&#10;5+pz8DlNWgScEBd7xjOen2++md+2WpGD8KG2pqDjUU6JMNyWtdkV9OOH1YspJSEyUzJljSjoUQR6&#10;u3j+bN64mZjYyqpSeIIgJswaV9AqRjfLssAroVkYWScMjNJ6zSJUv8tKzxpE1yqb5PlN1lhfOm+5&#10;CAGv92cjXXTxpRQ8PkgZRCSqoKgtdqfvzm06s8WczXaeuarmfRnsH6rQrDZIegl1zyIje1//EUrX&#10;3NtgZRxxqzMrZc1F1wO6Gee/dbOpmBNdLwAnuAtM4f+F5e8Pj57UZUEnrykxTGNGp29fT9+fTj++&#10;ELwBoMaFGfw2Dp6xfWPbgka/F4Mp4D213kqv042mCFyA9vGCsGgj4XgcTyfTaQ4Th21QkCK7fnc+&#10;xLfCapKEgnqMsEOWHdYhnl0Hl5TN2FWtVDdGZUhT0JuXr/Luw8WC4MogR+rjXGySYrtt++a2tjyi&#10;N2/P9AiOr2okX7MQH5kHH1AwOB4fcEhlkcT2EiWV9Z//9p78MSZYKWnAr4IaLAAl6p3B+BIVB8EP&#10;wnYQzF7fWRB2jN1xvBPxwUc1iNJb/QnEX6YckqmAwMxwZMNoBvEuQuuNWCAulsuLvne+3lXXzyCj&#10;Y3FtNo73w03YBrfcR+DbwZ4wOwPVQwlGdoPrtydR/le987ru+O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2c5Zs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evenAndOddHeaders w:val="true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MTY1YjAyMWUzYThkOWRhNjAxOWI2NTI0ODc5ZjUifQ=="/>
  </w:docVars>
  <w:rsids>
    <w:rsidRoot w:val="00BD7934"/>
    <w:rsid w:val="00030B74"/>
    <w:rsid w:val="00194B7E"/>
    <w:rsid w:val="002F534B"/>
    <w:rsid w:val="00323B43"/>
    <w:rsid w:val="00371E1D"/>
    <w:rsid w:val="00380582"/>
    <w:rsid w:val="003D37D8"/>
    <w:rsid w:val="004358AB"/>
    <w:rsid w:val="00482C86"/>
    <w:rsid w:val="00614493"/>
    <w:rsid w:val="00654F9E"/>
    <w:rsid w:val="006721D7"/>
    <w:rsid w:val="00693676"/>
    <w:rsid w:val="00696A25"/>
    <w:rsid w:val="006A08FD"/>
    <w:rsid w:val="006C48B8"/>
    <w:rsid w:val="00727343"/>
    <w:rsid w:val="008B7726"/>
    <w:rsid w:val="00904A60"/>
    <w:rsid w:val="00907747"/>
    <w:rsid w:val="00924C62"/>
    <w:rsid w:val="00967A6C"/>
    <w:rsid w:val="00970C75"/>
    <w:rsid w:val="009A5802"/>
    <w:rsid w:val="009E0B61"/>
    <w:rsid w:val="00B068F2"/>
    <w:rsid w:val="00B53A7D"/>
    <w:rsid w:val="00B8634A"/>
    <w:rsid w:val="00BD7934"/>
    <w:rsid w:val="00CE6484"/>
    <w:rsid w:val="00D30576"/>
    <w:rsid w:val="00D61463"/>
    <w:rsid w:val="00F6246B"/>
    <w:rsid w:val="02BD3581"/>
    <w:rsid w:val="091D1FC7"/>
    <w:rsid w:val="10834409"/>
    <w:rsid w:val="15FB288D"/>
    <w:rsid w:val="1AAA5EA8"/>
    <w:rsid w:val="1FF00B97"/>
    <w:rsid w:val="2FF3485B"/>
    <w:rsid w:val="3FDF0AA2"/>
    <w:rsid w:val="415E19AD"/>
    <w:rsid w:val="42855F2D"/>
    <w:rsid w:val="43277BBB"/>
    <w:rsid w:val="43D252D5"/>
    <w:rsid w:val="44C2013F"/>
    <w:rsid w:val="56283298"/>
    <w:rsid w:val="56EF6ED8"/>
    <w:rsid w:val="5A6B08D9"/>
    <w:rsid w:val="681F7ED8"/>
    <w:rsid w:val="6A050368"/>
    <w:rsid w:val="6D8D63F2"/>
    <w:rsid w:val="75BF745B"/>
    <w:rsid w:val="7A47584E"/>
    <w:rsid w:val="7DCC6879"/>
    <w:rsid w:val="BD98A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9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10">
    <w:name w:val="正文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1">
    <w:name w:val="正文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2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paragraph" w:customStyle="1" w:styleId="13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14">
    <w:name w:val="页脚 New"/>
    <w:basedOn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15">
    <w:name w:val="页码 Ne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1743</Words>
  <Characters>2028</Characters>
  <Lines>6</Lines>
  <Paragraphs>1</Paragraphs>
  <TotalTime>1</TotalTime>
  <ScaleCrop>false</ScaleCrop>
  <LinksUpToDate>false</LinksUpToDate>
  <CharactersWithSpaces>2265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2019-05-30T14:03:00Z</dcterms:created>
  <dc:creator>User</dc:creator>
  <cp:lastModifiedBy>独身仙子</cp:lastModifiedBy>
  <cp:lastPrinted>2023-05-23T09:37:00Z</cp:lastPrinted>
  <dcterms:modified xsi:type="dcterms:W3CDTF">2023-10-20T16:14:57Z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C8B5BB257D2F4C3AB8539A099FAEF91A_13</vt:lpwstr>
  </property>
</Properties>
</file>