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left="0" w:leftChars="0" w:firstLine="0" w:firstLineChars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周自然资字﹝202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﹞</w:t>
      </w:r>
      <w:r>
        <w:rPr>
          <w:rFonts w:hint="eastAsia" w:eastAsia="仿宋_GB2312"/>
          <w:sz w:val="30"/>
          <w:szCs w:val="30"/>
          <w:lang w:val="en-US" w:eastAsia="zh-CN"/>
        </w:rPr>
        <w:t>102</w:t>
      </w:r>
      <w:r>
        <w:rPr>
          <w:rFonts w:eastAsia="仿宋_GB2312"/>
          <w:sz w:val="30"/>
          <w:szCs w:val="30"/>
        </w:rPr>
        <w:t>号</w:t>
      </w:r>
      <w:bookmarkStart w:id="0" w:name="_GoBack"/>
      <w:bookmarkEnd w:id="0"/>
      <w:r>
        <w:rPr>
          <w:rFonts w:eastAsia="仿宋_GB2312"/>
          <w:sz w:val="30"/>
          <w:szCs w:val="30"/>
        </w:rPr>
        <w:t xml:space="preserve">    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</w:t>
      </w:r>
      <w:r>
        <w:rPr>
          <w:rFonts w:eastAsia="仿宋_GB2312"/>
          <w:sz w:val="30"/>
          <w:szCs w:val="30"/>
        </w:rPr>
        <w:t xml:space="preserve">     签发人：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对区政协十三届五次会议第135051号提案的答复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马海燕委员：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关于亟需盘活农村闲置土地资产的建议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收悉，现答复如下：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闲置土地盘活利用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是贯彻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中央供给侧结构性改革决策部署的具体举措，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是突破产业发展空间制约的重要途径。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近年来，我局为盘活农村闲置土地采取多项措施，取得一定成效，主要包括：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首先对全区关停企业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闲置土地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彻底进行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调查摸底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区政府专门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下发《关于加快关停企业闲置土地处置工作的意见》，明确全区关停企业闲置土地处置的原则、目标任务和处置方式。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截至目前，已盘活977宗，面积1744.135亩，就地解决就业冉姝近3000人，累计产生经济效益1.5亿元。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其次通过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强化农村闲散土地整治与现代农业发展有机融合，发挥土地综合整治的多功能多效益特征，通过闲散建设用地复垦、非耕地等农用地整理、未利用地开发等措施增加耕地，如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王村镇土地整治项目总规模16.0672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（241.01亩），新增耕地面积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10.466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162.99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增加耕地面积的同时提高了土地利用效率，促进农业生产结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构调整，增加了农民收入，另外还创造了就业机会，促进了经济发展，并且有效改善了生态环境，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第三、以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美丽乡村建设为抓手，聚焦“乡村旅游”这个目标，不断完善基础设施建设，全面落实乡村振兴战略，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涌现了如王村镇李家疃村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大力挖掘古村落文化、修复保护明清古建筑群、打造古村落旅游品牌；南郊镇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韩家窝村生态休闲旅游度假区鲁派民宿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风格等典型。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下一步，我们将根据您提的意见和建议继续完善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盘活农村闲置土地资产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盘活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使土地资产得以最大效益的发挥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衷心感谢您对自然资源管理工作提出的宝贵建议，希望您今后一如既往地关心和支持周村自然资源管理事业的发展。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此复。</w:t>
      </w:r>
    </w:p>
    <w:p>
      <w:pPr>
        <w:widowControl w:val="0"/>
        <w:rPr>
          <w:rFonts w:eastAsia="仿宋_GB2312"/>
          <w:sz w:val="32"/>
          <w:szCs w:val="32"/>
        </w:rPr>
      </w:pPr>
    </w:p>
    <w:p>
      <w:pPr>
        <w:widowControl w:val="0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eastAsia="仿宋_GB2312"/>
          <w:sz w:val="32"/>
          <w:szCs w:val="32"/>
        </w:rPr>
        <w:t>淄博市周村区自然资源局</w:t>
      </w: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年8月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>
      <w:pPr>
        <w:widowControl w:val="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抄送：区委办公室(区政府办公室)、区政协提案工作室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4345"/>
    <w:rsid w:val="0171422F"/>
    <w:rsid w:val="01AA1C53"/>
    <w:rsid w:val="060C7A25"/>
    <w:rsid w:val="07F00188"/>
    <w:rsid w:val="0C260C17"/>
    <w:rsid w:val="0FF7148B"/>
    <w:rsid w:val="10DC0535"/>
    <w:rsid w:val="11694E5D"/>
    <w:rsid w:val="11DB1543"/>
    <w:rsid w:val="160B299B"/>
    <w:rsid w:val="1735091E"/>
    <w:rsid w:val="17BA72A6"/>
    <w:rsid w:val="1B5A5580"/>
    <w:rsid w:val="1B951009"/>
    <w:rsid w:val="2208617C"/>
    <w:rsid w:val="26650863"/>
    <w:rsid w:val="26C42DB8"/>
    <w:rsid w:val="26C45012"/>
    <w:rsid w:val="27454450"/>
    <w:rsid w:val="275712C1"/>
    <w:rsid w:val="28EB472D"/>
    <w:rsid w:val="2C6E3333"/>
    <w:rsid w:val="2D540265"/>
    <w:rsid w:val="2D7C2619"/>
    <w:rsid w:val="2EF50C4C"/>
    <w:rsid w:val="2F181D80"/>
    <w:rsid w:val="2FAB013C"/>
    <w:rsid w:val="2FFE45DB"/>
    <w:rsid w:val="305A1423"/>
    <w:rsid w:val="31B642A0"/>
    <w:rsid w:val="359E5070"/>
    <w:rsid w:val="35DE14FA"/>
    <w:rsid w:val="3B412A06"/>
    <w:rsid w:val="3C12192E"/>
    <w:rsid w:val="3C162C0B"/>
    <w:rsid w:val="3C4520A6"/>
    <w:rsid w:val="3E285A2F"/>
    <w:rsid w:val="41F10FCC"/>
    <w:rsid w:val="46014BC2"/>
    <w:rsid w:val="466D0A5F"/>
    <w:rsid w:val="498C0AB0"/>
    <w:rsid w:val="4D1E1CCF"/>
    <w:rsid w:val="4EC9409A"/>
    <w:rsid w:val="53D93985"/>
    <w:rsid w:val="56883316"/>
    <w:rsid w:val="57582FFC"/>
    <w:rsid w:val="58E87994"/>
    <w:rsid w:val="5B8C08E5"/>
    <w:rsid w:val="63A26D19"/>
    <w:rsid w:val="63CA55CB"/>
    <w:rsid w:val="640B294E"/>
    <w:rsid w:val="653A180D"/>
    <w:rsid w:val="67284345"/>
    <w:rsid w:val="6C766352"/>
    <w:rsid w:val="70A25D59"/>
    <w:rsid w:val="70B84E28"/>
    <w:rsid w:val="73D1587D"/>
    <w:rsid w:val="7761354F"/>
    <w:rsid w:val="7CF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11">
    <w:name w:val="calendar-head__next-year-btn"/>
    <w:basedOn w:val="6"/>
    <w:qFormat/>
    <w:uiPriority w:val="0"/>
  </w:style>
  <w:style w:type="character" w:customStyle="1" w:styleId="12">
    <w:name w:val="calendar-head__prev-range-btn"/>
    <w:basedOn w:val="6"/>
    <w:qFormat/>
    <w:uiPriority w:val="0"/>
    <w:rPr>
      <w:vanish/>
    </w:rPr>
  </w:style>
  <w:style w:type="character" w:customStyle="1" w:styleId="13">
    <w:name w:val="hover"/>
    <w:basedOn w:val="6"/>
    <w:qFormat/>
    <w:uiPriority w:val="0"/>
    <w:rPr>
      <w:color w:val="2F6EA2"/>
    </w:rPr>
  </w:style>
  <w:style w:type="character" w:customStyle="1" w:styleId="14">
    <w:name w:val="active"/>
    <w:basedOn w:val="6"/>
    <w:qFormat/>
    <w:uiPriority w:val="0"/>
    <w:rPr>
      <w:color w:val="333333"/>
    </w:rPr>
  </w:style>
  <w:style w:type="character" w:customStyle="1" w:styleId="15">
    <w:name w:val="calendar-head__next-month-btn"/>
    <w:basedOn w:val="6"/>
    <w:qFormat/>
    <w:uiPriority w:val="0"/>
  </w:style>
  <w:style w:type="character" w:customStyle="1" w:styleId="16">
    <w:name w:val="calendar-head__next-range-btn"/>
    <w:basedOn w:val="6"/>
    <w:qFormat/>
    <w:uiPriority w:val="0"/>
    <w:rPr>
      <w:vanish/>
    </w:rPr>
  </w:style>
  <w:style w:type="character" w:customStyle="1" w:styleId="17">
    <w:name w:val="calendar-head__text-display"/>
    <w:basedOn w:val="6"/>
    <w:qFormat/>
    <w:uiPriority w:val="0"/>
    <w:rPr>
      <w:vanish/>
    </w:rPr>
  </w:style>
  <w:style w:type="character" w:customStyle="1" w:styleId="18">
    <w:name w:val="calendar-head__year-range"/>
    <w:basedOn w:val="6"/>
    <w:qFormat/>
    <w:uiPriority w:val="0"/>
    <w:rPr>
      <w:vanish/>
    </w:rPr>
  </w:style>
  <w:style w:type="character" w:customStyle="1" w:styleId="19">
    <w:name w:val="active2"/>
    <w:basedOn w:val="6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2020-01-15T06:39:00Z</dcterms:created>
  <dc:creator>Phoenix</dc:creator>
  <cp:lastModifiedBy>Administrator</cp:lastModifiedBy>
  <cp:lastPrinted>2020-02-05T07:01:00Z</cp:lastPrinted>
  <dcterms:modified xsi:type="dcterms:W3CDTF">2021-09-26T08:19:34Z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D0BB59892C3D49BEB646DADA79192C44</vt:lpwstr>
  </property>
</Properties>
</file>