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674" w:firstLineChars="507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区自然资源局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专职人员配备情况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周村区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自然资源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局政务公开工作分管领导：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李涛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，党组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副书记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副局长（正科级）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政务公开工作办公室设在局办公室，由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刘刚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同志兼任办公室主任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，张永刚同志具体负责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2020-11-28T04:43:54Z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