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560" w:lineRule="exact"/>
        <w:jc w:val="center"/>
        <w:rPr>
          <w:rFonts w:ascii="Times New Roman" w:hAnsi="Times New Roman" w:eastAsia="方正小标宋简体" w:cs="Times New Roman"/>
          <w:spacing w:val="-17"/>
          <w:sz w:val="44"/>
          <w:szCs w:val="21"/>
        </w:rPr>
      </w:pPr>
      <w:r>
        <w:rPr>
          <w:rFonts w:hint="eastAsia" w:ascii="Times New Roman" w:hAnsi="Times New Roman" w:eastAsia="方正小标宋简体" w:cs="Times New Roman"/>
          <w:spacing w:val="-17"/>
          <w:sz w:val="44"/>
          <w:szCs w:val="21"/>
        </w:rPr>
        <w:t>智慧社区建设验收结果公示</w:t>
      </w:r>
    </w:p>
    <w:p>
      <w:pPr>
        <w:widowControl/>
        <w:overflowPunct w:val="0"/>
        <w:spacing w:line="560" w:lineRule="exact"/>
        <w:ind w:firstLine="640" w:firstLineChars="200"/>
        <w:rPr>
          <w:rFonts w:ascii="Times New Roman" w:hAnsi="Times New Roman" w:eastAsia="仿宋_GB2312" w:cs="Times New Roman"/>
          <w:sz w:val="32"/>
          <w:szCs w:val="21"/>
        </w:rPr>
      </w:pPr>
    </w:p>
    <w:p>
      <w:pPr>
        <w:widowControl/>
        <w:overflowPunct w:val="0"/>
        <w:spacing w:line="560" w:lineRule="exact"/>
        <w:ind w:firstLine="640" w:firstLineChars="200"/>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根据《关于加快推进智慧社区建设工作的实施意见》（</w:t>
      </w:r>
      <w:r>
        <w:rPr>
          <w:rFonts w:ascii="Times New Roman" w:hAnsi="Times New Roman" w:eastAsia="仿宋_GB2312" w:cs="Times New Roman"/>
          <w:sz w:val="32"/>
          <w:szCs w:val="32"/>
        </w:rPr>
        <w:t>鲁数发〔2022〕16号</w:t>
      </w:r>
      <w:r>
        <w:rPr>
          <w:rFonts w:hint="eastAsia" w:ascii="Times New Roman" w:hAnsi="Times New Roman" w:eastAsia="仿宋_GB2312" w:cs="Times New Roman"/>
          <w:sz w:val="32"/>
          <w:szCs w:val="21"/>
        </w:rPr>
        <w:t>），经</w:t>
      </w:r>
      <w:r>
        <w:rPr>
          <w:rFonts w:hint="eastAsia" w:ascii="Times New Roman" w:hAnsi="Times New Roman" w:eastAsia="仿宋_GB2312" w:cs="Times New Roman"/>
          <w:sz w:val="32"/>
          <w:szCs w:val="21"/>
          <w:lang w:val="en-US" w:eastAsia="zh-CN"/>
        </w:rPr>
        <w:t>凤鸣</w:t>
      </w:r>
      <w:r>
        <w:rPr>
          <w:rFonts w:hint="eastAsia" w:ascii="Times New Roman" w:hAnsi="Times New Roman" w:eastAsia="仿宋_GB2312" w:cs="Times New Roman"/>
          <w:sz w:val="32"/>
          <w:szCs w:val="21"/>
        </w:rPr>
        <w:t>社区申请，</w:t>
      </w:r>
      <w:r>
        <w:rPr>
          <w:rFonts w:hint="eastAsia" w:ascii="Times New Roman" w:hAnsi="Times New Roman" w:eastAsia="仿宋_GB2312" w:cs="Times New Roman"/>
          <w:sz w:val="32"/>
          <w:szCs w:val="21"/>
          <w:lang w:val="en-US" w:eastAsia="zh-CN"/>
        </w:rPr>
        <w:t>淄博市大数据</w:t>
      </w:r>
      <w:r>
        <w:rPr>
          <w:rFonts w:hint="eastAsia" w:ascii="Times New Roman" w:hAnsi="Times New Roman" w:eastAsia="仿宋_GB2312" w:cs="Times New Roman"/>
          <w:sz w:val="32"/>
          <w:szCs w:val="21"/>
        </w:rPr>
        <w:t>局（中心）于</w:t>
      </w:r>
      <w:r>
        <w:rPr>
          <w:rFonts w:ascii="Times New Roman" w:hAnsi="Times New Roman" w:eastAsia="仿宋_GB2312" w:cs="Times New Roman"/>
          <w:sz w:val="32"/>
          <w:szCs w:val="21"/>
        </w:rPr>
        <w:t>20</w:t>
      </w:r>
      <w:r>
        <w:rPr>
          <w:rFonts w:hint="eastAsia" w:ascii="Times New Roman" w:hAnsi="Times New Roman" w:eastAsia="仿宋_GB2312" w:cs="Times New Roman"/>
          <w:sz w:val="32"/>
          <w:szCs w:val="21"/>
          <w:lang w:val="en-US" w:eastAsia="zh-CN"/>
        </w:rPr>
        <w:t>22</w:t>
      </w:r>
      <w:r>
        <w:rPr>
          <w:rFonts w:hint="eastAsia" w:ascii="Times New Roman" w:hAnsi="Times New Roman" w:eastAsia="仿宋_GB2312" w:cs="Times New Roman"/>
          <w:sz w:val="32"/>
          <w:szCs w:val="21"/>
        </w:rPr>
        <w:t>年</w:t>
      </w:r>
      <w:r>
        <w:rPr>
          <w:rFonts w:hint="eastAsia" w:ascii="Times New Roman" w:hAnsi="Times New Roman" w:eastAsia="仿宋_GB2312" w:cs="Times New Roman"/>
          <w:sz w:val="32"/>
          <w:szCs w:val="21"/>
          <w:lang w:val="en-US" w:eastAsia="zh-CN"/>
        </w:rPr>
        <w:t>12</w:t>
      </w:r>
      <w:r>
        <w:rPr>
          <w:rFonts w:hint="eastAsia" w:ascii="Times New Roman" w:hAnsi="Times New Roman" w:eastAsia="仿宋_GB2312" w:cs="Times New Roman"/>
          <w:sz w:val="32"/>
          <w:szCs w:val="21"/>
        </w:rPr>
        <w:t>月</w:t>
      </w:r>
      <w:r>
        <w:rPr>
          <w:rFonts w:hint="eastAsia" w:ascii="Times New Roman" w:hAnsi="Times New Roman" w:eastAsia="仿宋_GB2312" w:cs="Times New Roman"/>
          <w:sz w:val="32"/>
          <w:szCs w:val="21"/>
          <w:lang w:val="en-US" w:eastAsia="zh-CN"/>
        </w:rPr>
        <w:t>7</w:t>
      </w:r>
      <w:r>
        <w:rPr>
          <w:rFonts w:hint="eastAsia" w:ascii="Times New Roman" w:hAnsi="Times New Roman" w:eastAsia="仿宋_GB2312" w:cs="Times New Roman"/>
          <w:sz w:val="32"/>
          <w:szCs w:val="21"/>
        </w:rPr>
        <w:t>日组织成立了居民代表验收工作组并开展智慧社区试点验收工作，经工作组成员一致认定，</w:t>
      </w:r>
      <w:r>
        <w:rPr>
          <w:rFonts w:hint="eastAsia" w:ascii="Times New Roman" w:hAnsi="Times New Roman" w:eastAsia="仿宋_GB2312" w:cs="Times New Roman"/>
          <w:sz w:val="32"/>
          <w:szCs w:val="21"/>
          <w:lang w:val="en-US" w:eastAsia="zh-CN"/>
        </w:rPr>
        <w:t>凤鸣</w:t>
      </w:r>
      <w:r>
        <w:rPr>
          <w:rFonts w:hint="eastAsia" w:ascii="Times New Roman" w:hAnsi="Times New Roman" w:eastAsia="仿宋_GB2312" w:cs="Times New Roman"/>
          <w:sz w:val="32"/>
          <w:szCs w:val="21"/>
        </w:rPr>
        <w:t>社区已满足《山东省智慧社区建设指标》中“</w:t>
      </w:r>
      <w:r>
        <w:rPr>
          <w:rFonts w:hint="eastAsia" w:ascii="Times New Roman" w:hAnsi="Times New Roman" w:eastAsia="仿宋_GB2312" w:cs="Times New Roman"/>
          <w:sz w:val="32"/>
          <w:szCs w:val="21"/>
          <w:lang w:val="en-US" w:eastAsia="zh-CN"/>
        </w:rPr>
        <w:t>基础</w:t>
      </w:r>
      <w:r>
        <w:rPr>
          <w:rFonts w:hint="eastAsia" w:ascii="Times New Roman" w:hAnsi="Times New Roman" w:eastAsia="仿宋_GB2312" w:cs="Times New Roman"/>
          <w:sz w:val="32"/>
          <w:szCs w:val="21"/>
        </w:rPr>
        <w:t>型智慧社区”的建设要求。相关内容公示如下：</w:t>
      </w:r>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600" w:lineRule="exact"/>
        <w:jc w:val="center"/>
        <w:rPr>
          <w:rFonts w:hint="eastAsia" w:ascii="方正小标宋简体" w:eastAsia="方正小标宋简体"/>
          <w:sz w:val="44"/>
          <w:szCs w:val="44"/>
          <w:lang w:eastAsia="zh-CN"/>
        </w:rPr>
      </w:pPr>
      <w:r>
        <w:rPr>
          <w:rFonts w:hint="eastAsia" w:ascii="方正小标宋简体" w:hAnsi="黑体" w:eastAsia="方正小标宋简体"/>
          <w:sz w:val="44"/>
          <w:szCs w:val="44"/>
        </w:rPr>
        <w:t>山东省智慧社区建设指标</w:t>
      </w:r>
      <w:r>
        <w:rPr>
          <w:rFonts w:hint="eastAsia" w:ascii="方正小标宋简体" w:hAnsi="黑体" w:eastAsia="方正小标宋简体"/>
          <w:sz w:val="44"/>
          <w:szCs w:val="44"/>
          <w:lang w:eastAsia="zh-CN"/>
        </w:rPr>
        <w:t>初检填报稿</w:t>
      </w:r>
    </w:p>
    <w:p>
      <w:pPr>
        <w:spacing w:line="600" w:lineRule="exact"/>
        <w:jc w:val="center"/>
        <w:rPr>
          <w:rFonts w:hint="eastAsia" w:ascii="CESI楷体-GB2312" w:hAnsi="CESI楷体-GB2312" w:eastAsia="CESI楷体-GB2312" w:cs="CESI楷体-GB2312"/>
          <w:sz w:val="36"/>
          <w:szCs w:val="36"/>
        </w:rPr>
      </w:pPr>
      <w:r>
        <w:rPr>
          <w:rFonts w:hint="eastAsia" w:ascii="CESI楷体-GB2312" w:hAnsi="CESI楷体-GB2312" w:eastAsia="CESI楷体-GB2312" w:cs="CESI楷体-GB2312"/>
          <w:sz w:val="36"/>
          <w:szCs w:val="36"/>
        </w:rPr>
        <w:t>（一）基础型智慧社区</w:t>
      </w:r>
      <w:r>
        <w:rPr>
          <w:rFonts w:hint="eastAsia" w:ascii="CESI楷体-GB2312" w:hAnsi="CESI楷体-GB2312" w:eastAsia="CESI楷体-GB2312" w:cs="CESI楷体-GB2312"/>
          <w:sz w:val="36"/>
          <w:szCs w:val="36"/>
          <w:lang w:eastAsia="zh-CN"/>
        </w:rPr>
        <w:t>周村</w:t>
      </w:r>
      <w:r>
        <w:rPr>
          <w:rFonts w:hint="eastAsia" w:ascii="CESI楷体-GB2312" w:hAnsi="CESI楷体-GB2312" w:eastAsia="CESI楷体-GB2312" w:cs="CESI楷体-GB2312"/>
          <w:sz w:val="36"/>
          <w:szCs w:val="36"/>
        </w:rPr>
        <w:t>区—</w:t>
      </w:r>
      <w:r>
        <w:rPr>
          <w:rFonts w:hint="eastAsia" w:ascii="CESI楷体-GB2312" w:hAnsi="CESI楷体-GB2312" w:eastAsia="CESI楷体-GB2312" w:cs="CESI楷体-GB2312"/>
          <w:sz w:val="36"/>
          <w:szCs w:val="36"/>
          <w:lang w:eastAsia="zh-CN"/>
        </w:rPr>
        <w:t>凤鸣</w:t>
      </w:r>
      <w:r>
        <w:rPr>
          <w:rFonts w:hint="eastAsia" w:ascii="CESI楷体-GB2312" w:hAnsi="CESI楷体-GB2312" w:eastAsia="CESI楷体-GB2312" w:cs="CESI楷体-GB2312"/>
          <w:sz w:val="36"/>
          <w:szCs w:val="36"/>
        </w:rPr>
        <w:t>社区</w:t>
      </w: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496"/>
        <w:gridCol w:w="1058"/>
        <w:gridCol w:w="2631"/>
        <w:gridCol w:w="253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96" w:type="pct"/>
            <w:shd w:val="clear" w:color="auto" w:fill="EEECE1"/>
            <w:noWrap w:val="0"/>
            <w:vAlign w:val="center"/>
          </w:tcPr>
          <w:p>
            <w:pPr>
              <w:pStyle w:val="7"/>
              <w:rPr>
                <w:rFonts w:ascii="Times New Roman" w:hAnsi="Times New Roman"/>
              </w:rPr>
            </w:pPr>
            <w:r>
              <w:rPr>
                <w:rFonts w:ascii="Times New Roman" w:hAnsi="Times New Roman"/>
              </w:rPr>
              <w:t>一级指标</w:t>
            </w:r>
          </w:p>
        </w:tc>
        <w:tc>
          <w:tcPr>
            <w:tcW w:w="226" w:type="pct"/>
            <w:tcBorders>
              <w:bottom w:val="single" w:color="auto" w:sz="4" w:space="0"/>
            </w:tcBorders>
            <w:shd w:val="clear" w:color="auto" w:fill="EEECE1"/>
            <w:noWrap w:val="0"/>
            <w:vAlign w:val="center"/>
          </w:tcPr>
          <w:p>
            <w:pPr>
              <w:pStyle w:val="7"/>
              <w:rPr>
                <w:rFonts w:ascii="Times New Roman" w:hAnsi="Times New Roman"/>
              </w:rPr>
            </w:pPr>
            <w:r>
              <w:rPr>
                <w:rFonts w:ascii="Times New Roman" w:hAnsi="Times New Roman"/>
              </w:rPr>
              <w:t>序号</w:t>
            </w:r>
          </w:p>
        </w:tc>
        <w:tc>
          <w:tcPr>
            <w:tcW w:w="594" w:type="pct"/>
            <w:shd w:val="clear" w:color="auto" w:fill="EEECE1"/>
            <w:noWrap w:val="0"/>
            <w:vAlign w:val="center"/>
          </w:tcPr>
          <w:p>
            <w:pPr>
              <w:pStyle w:val="7"/>
              <w:rPr>
                <w:rFonts w:ascii="Times New Roman" w:hAnsi="Times New Roman"/>
              </w:rPr>
            </w:pPr>
            <w:r>
              <w:rPr>
                <w:rFonts w:ascii="Times New Roman" w:hAnsi="Times New Roman"/>
              </w:rPr>
              <w:t>二级指标</w:t>
            </w:r>
          </w:p>
        </w:tc>
        <w:tc>
          <w:tcPr>
            <w:tcW w:w="1462" w:type="pct"/>
            <w:shd w:val="clear" w:color="auto" w:fill="EEECE1"/>
            <w:noWrap w:val="0"/>
            <w:vAlign w:val="center"/>
          </w:tcPr>
          <w:p>
            <w:pPr>
              <w:pStyle w:val="7"/>
              <w:rPr>
                <w:rFonts w:ascii="Times New Roman" w:hAnsi="Times New Roman"/>
              </w:rPr>
            </w:pPr>
            <w:r>
              <w:rPr>
                <w:rFonts w:ascii="Times New Roman" w:hAnsi="Times New Roman"/>
              </w:rPr>
              <w:t>指标释义</w:t>
            </w:r>
          </w:p>
        </w:tc>
        <w:tc>
          <w:tcPr>
            <w:tcW w:w="1411" w:type="pct"/>
            <w:shd w:val="clear" w:color="auto" w:fill="EEECE1"/>
            <w:noWrap w:val="0"/>
            <w:vAlign w:val="center"/>
          </w:tcPr>
          <w:p>
            <w:pPr>
              <w:pStyle w:val="7"/>
              <w:rPr>
                <w:rFonts w:ascii="Times New Roman" w:hAnsi="Times New Roman"/>
              </w:rPr>
            </w:pPr>
            <w:r>
              <w:rPr>
                <w:rFonts w:ascii="Times New Roman" w:hAnsi="Times New Roman"/>
              </w:rPr>
              <w:t>标准要求</w:t>
            </w:r>
          </w:p>
        </w:tc>
        <w:tc>
          <w:tcPr>
            <w:tcW w:w="1010" w:type="pct"/>
            <w:shd w:val="clear" w:color="auto" w:fill="EEECE1"/>
            <w:noWrap w:val="0"/>
            <w:vAlign w:val="center"/>
          </w:tcPr>
          <w:p>
            <w:pPr>
              <w:pStyle w:val="7"/>
              <w:rPr>
                <w:rFonts w:hint="eastAsia" w:ascii="Times New Roman" w:hAnsi="Times New Roman" w:eastAsia="黑体"/>
                <w:lang w:val="en" w:eastAsia="zh-CN"/>
              </w:rPr>
            </w:pPr>
            <w:r>
              <w:rPr>
                <w:rFonts w:hint="eastAsia" w:ascii="Times New Roman" w:hAnsi="Times New Roman"/>
                <w:lang w:val="en" w:eastAsia="zh-CN"/>
              </w:rPr>
              <w:t>自评初检填报内容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有线宽带网络</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社区内有线宽带网络覆盖情况</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家庭千兆光纤网络覆盖率=具备千兆接入能力的家庭数/社区家庭总数</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家庭千兆光纤网络覆盖率达到70%</w:t>
            </w:r>
          </w:p>
        </w:tc>
        <w:tc>
          <w:tcPr>
            <w:tcW w:w="1010" w:type="pct"/>
            <w:noWrap w:val="0"/>
            <w:vAlign w:val="center"/>
          </w:tcPr>
          <w:p>
            <w:pPr>
              <w:spacing w:line="320" w:lineRule="exact"/>
              <w:rPr>
                <w:rFonts w:hint="default" w:ascii="仿宋_GB2312" w:hAnsi="仿宋_GB2312" w:eastAsia="仿宋_GB2312" w:cs="仿宋_GB2312"/>
                <w:sz w:val="24"/>
                <w:szCs w:val="24"/>
                <w:lang w:val="en-US" w:eastAsia="zh-CN"/>
              </w:rPr>
            </w:pPr>
            <w:r>
              <w:rPr>
                <w:rFonts w:hint="eastAsia" w:ascii="Times New Roman" w:hAnsi="Times New Roman"/>
                <w:color w:val="auto"/>
                <w:kern w:val="28"/>
                <w:sz w:val="24"/>
                <w:szCs w:val="24"/>
              </w:rPr>
              <w:t>具备千兆接入能力的家庭数</w:t>
            </w:r>
            <w:r>
              <w:rPr>
                <w:rFonts w:hint="eastAsia" w:ascii="Times New Roman" w:hAnsi="Times New Roman"/>
                <w:color w:val="auto"/>
                <w:kern w:val="28"/>
                <w:sz w:val="24"/>
                <w:szCs w:val="24"/>
                <w:lang w:val="en-US" w:eastAsia="zh-CN"/>
              </w:rPr>
              <w:t>2700</w:t>
            </w:r>
            <w:r>
              <w:rPr>
                <w:rFonts w:hint="eastAsia" w:ascii="Times New Roman" w:hAnsi="Times New Roman"/>
                <w:color w:val="auto"/>
                <w:kern w:val="28"/>
                <w:sz w:val="24"/>
                <w:szCs w:val="24"/>
              </w:rPr>
              <w:t>家，社区家庭总数为</w:t>
            </w:r>
            <w:r>
              <w:rPr>
                <w:rFonts w:hint="eastAsia" w:ascii="Times New Roman" w:hAnsi="Times New Roman"/>
                <w:color w:val="auto"/>
                <w:kern w:val="28"/>
                <w:sz w:val="24"/>
                <w:szCs w:val="24"/>
                <w:lang w:val="en-US" w:eastAsia="zh-CN"/>
              </w:rPr>
              <w:t>3769</w:t>
            </w:r>
            <w:r>
              <w:rPr>
                <w:rFonts w:hint="eastAsia" w:ascii="Times New Roman" w:hAnsi="Times New Roman"/>
                <w:color w:val="auto"/>
                <w:kern w:val="28"/>
                <w:sz w:val="24"/>
                <w:szCs w:val="24"/>
              </w:rPr>
              <w:t>家，家庭千兆光纤网络覆盖率达到7</w:t>
            </w:r>
            <w:r>
              <w:rPr>
                <w:rFonts w:hint="eastAsia" w:ascii="Times New Roman" w:hAnsi="Times New Roman"/>
                <w:color w:val="auto"/>
                <w:kern w:val="28"/>
                <w:sz w:val="24"/>
                <w:szCs w:val="24"/>
                <w:lang w:val="en-US" w:eastAsia="zh-CN"/>
              </w:rPr>
              <w:t>1.6</w:t>
            </w:r>
            <w:r>
              <w:rPr>
                <w:rFonts w:hint="eastAsia" w:ascii="Times New Roman" w:hAnsi="Times New Roman"/>
                <w:color w:val="auto"/>
                <w:kern w:val="2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移动通信网络</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社区内5G网络覆盖情况</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5G网络覆盖率=5G信号覆盖的区域面积/社区总面积</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5G网络覆盖率达到80%</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color w:val="auto"/>
                <w:kern w:val="28"/>
                <w:sz w:val="24"/>
                <w:szCs w:val="24"/>
              </w:rPr>
              <w:t>具备千兆接入能力的家庭数</w:t>
            </w:r>
            <w:r>
              <w:rPr>
                <w:rFonts w:hint="eastAsia" w:ascii="Times New Roman" w:hAnsi="Times New Roman"/>
                <w:color w:val="auto"/>
                <w:kern w:val="28"/>
                <w:sz w:val="24"/>
                <w:szCs w:val="24"/>
                <w:lang w:val="en-US" w:eastAsia="zh-CN"/>
              </w:rPr>
              <w:t>3020</w:t>
            </w:r>
            <w:r>
              <w:rPr>
                <w:rFonts w:hint="eastAsia" w:ascii="Times New Roman" w:hAnsi="Times New Roman"/>
                <w:color w:val="auto"/>
                <w:kern w:val="28"/>
                <w:sz w:val="24"/>
                <w:szCs w:val="24"/>
              </w:rPr>
              <w:t>家</w:t>
            </w:r>
            <w:r>
              <w:rPr>
                <w:rFonts w:hint="eastAsia" w:ascii="Times New Roman" w:hAnsi="Times New Roman"/>
                <w:color w:val="auto"/>
                <w:kern w:val="28"/>
                <w:sz w:val="24"/>
                <w:szCs w:val="24"/>
                <w:lang w:eastAsia="zh-CN"/>
              </w:rPr>
              <w:t>，</w:t>
            </w:r>
            <w:r>
              <w:rPr>
                <w:rFonts w:hint="eastAsia" w:ascii="Times New Roman" w:hAnsi="Times New Roman"/>
                <w:color w:val="auto"/>
                <w:kern w:val="28"/>
                <w:sz w:val="24"/>
                <w:szCs w:val="24"/>
              </w:rPr>
              <w:t>社区家庭总数为</w:t>
            </w:r>
            <w:r>
              <w:rPr>
                <w:rFonts w:hint="eastAsia" w:ascii="Times New Roman" w:hAnsi="Times New Roman"/>
                <w:color w:val="auto"/>
                <w:kern w:val="28"/>
                <w:sz w:val="24"/>
                <w:szCs w:val="24"/>
                <w:lang w:val="en-US" w:eastAsia="zh-CN"/>
              </w:rPr>
              <w:t>3769</w:t>
            </w:r>
            <w:r>
              <w:rPr>
                <w:rFonts w:hint="eastAsia" w:ascii="Times New Roman" w:hAnsi="Times New Roman"/>
                <w:color w:val="auto"/>
                <w:kern w:val="28"/>
                <w:sz w:val="24"/>
                <w:szCs w:val="24"/>
              </w:rPr>
              <w:t>家</w:t>
            </w:r>
            <w:r>
              <w:rPr>
                <w:rFonts w:hint="eastAsia" w:ascii="Times New Roman" w:hAnsi="Times New Roman"/>
                <w:color w:val="auto"/>
                <w:kern w:val="28"/>
                <w:sz w:val="24"/>
                <w:szCs w:val="24"/>
                <w:lang w:eastAsia="zh-CN"/>
              </w:rPr>
              <w:t>，</w:t>
            </w:r>
            <w:r>
              <w:rPr>
                <w:rFonts w:hint="eastAsia" w:ascii="Times New Roman" w:hAnsi="Times New Roman"/>
                <w:color w:val="auto"/>
                <w:kern w:val="28"/>
                <w:sz w:val="24"/>
                <w:szCs w:val="24"/>
              </w:rPr>
              <w:t>家庭千兆光纤网络覆盖率达到</w:t>
            </w:r>
            <w:r>
              <w:rPr>
                <w:rFonts w:hint="eastAsia" w:ascii="Times New Roman" w:hAnsi="Times New Roman"/>
                <w:color w:val="auto"/>
                <w:kern w:val="28"/>
                <w:sz w:val="24"/>
                <w:szCs w:val="24"/>
                <w:lang w:val="en-US" w:eastAsia="zh-CN"/>
              </w:rPr>
              <w:t>80.1</w:t>
            </w:r>
            <w:r>
              <w:rPr>
                <w:rFonts w:hint="eastAsia" w:ascii="Times New Roman" w:hAnsi="Times New Roman"/>
                <w:color w:val="auto"/>
                <w:kern w:val="2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广播电视</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社区内广播电视覆盖情况，包括有线广播电视和交互式网络电视（IPTV）</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广播电视覆盖率=具备有线广播电视或交互式网络电视（IPTV）接入能力的家庭数/社区家庭总数</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注：</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每个家庭只计算一次</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广播电视覆盖率达到70%</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color w:val="auto"/>
                <w:kern w:val="28"/>
                <w:sz w:val="24"/>
                <w:szCs w:val="24"/>
                <w:lang w:val="en-US" w:eastAsia="zh-CN"/>
              </w:rPr>
              <w:t>具备广播电视的家庭3200户，</w:t>
            </w:r>
            <w:r>
              <w:rPr>
                <w:rFonts w:hint="eastAsia" w:ascii="Times New Roman" w:hAnsi="Times New Roman"/>
                <w:color w:val="auto"/>
                <w:kern w:val="28"/>
                <w:sz w:val="24"/>
                <w:szCs w:val="24"/>
              </w:rPr>
              <w:t>社区家庭总数为</w:t>
            </w:r>
            <w:r>
              <w:rPr>
                <w:rFonts w:hint="eastAsia" w:ascii="Times New Roman" w:hAnsi="Times New Roman"/>
                <w:color w:val="auto"/>
                <w:kern w:val="28"/>
                <w:sz w:val="24"/>
                <w:szCs w:val="24"/>
                <w:lang w:val="en-US" w:eastAsia="zh-CN"/>
              </w:rPr>
              <w:t>3769</w:t>
            </w:r>
            <w:r>
              <w:rPr>
                <w:rFonts w:hint="eastAsia" w:ascii="Times New Roman" w:hAnsi="Times New Roman"/>
                <w:color w:val="auto"/>
                <w:kern w:val="28"/>
                <w:sz w:val="24"/>
                <w:szCs w:val="24"/>
              </w:rPr>
              <w:t>家</w:t>
            </w:r>
            <w:r>
              <w:rPr>
                <w:rFonts w:hint="eastAsia" w:ascii="Times New Roman" w:hAnsi="Times New Roman"/>
                <w:color w:val="auto"/>
                <w:kern w:val="28"/>
                <w:sz w:val="24"/>
                <w:szCs w:val="24"/>
                <w:lang w:eastAsia="zh-CN"/>
              </w:rPr>
              <w:t>，</w:t>
            </w:r>
            <w:r>
              <w:rPr>
                <w:rFonts w:hint="eastAsia" w:ascii="Times New Roman" w:hAnsi="Times New Roman"/>
                <w:color w:val="auto"/>
                <w:kern w:val="28"/>
                <w:sz w:val="24"/>
                <w:szCs w:val="24"/>
                <w:lang w:val="en-US" w:eastAsia="zh-CN"/>
              </w:rPr>
              <w:t>覆盖率达84.9%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视频监控设施</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社区内视频监控设施覆盖、联网和应用情况</w:t>
            </w:r>
          </w:p>
        </w:tc>
        <w:tc>
          <w:tcPr>
            <w:tcW w:w="1411"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1.视频监控在小区出入口、停车库（场）出入口、社区主干道、消防通道等关键位置的覆盖率、联网率、摄像机完好率均达到90%；</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2.公共视频资源出图率达到80%；</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3.视频监控编码、名称、行政区划、经纬度等合规率达到90%</w:t>
            </w:r>
          </w:p>
        </w:tc>
        <w:tc>
          <w:tcPr>
            <w:tcW w:w="1010" w:type="pct"/>
            <w:noWrap w:val="0"/>
            <w:vAlign w:val="center"/>
          </w:tcPr>
          <w:p>
            <w:pPr>
              <w:spacing w:line="320" w:lineRule="exact"/>
              <w:jc w:val="center"/>
              <w:rPr>
                <w:rFonts w:hint="eastAsia" w:ascii="仿宋_GB2312" w:hAnsi="仿宋_GB2312" w:eastAsia="仿宋_GB2312" w:cs="仿宋_GB2312"/>
                <w:sz w:val="24"/>
                <w:szCs w:val="24"/>
              </w:rPr>
            </w:pPr>
            <w:r>
              <w:rPr>
                <w:rFonts w:hint="eastAsia" w:ascii="Times New Roman" w:hAnsi="Times New Roman"/>
                <w:color w:val="auto"/>
                <w:kern w:val="28"/>
                <w:sz w:val="24"/>
                <w:szCs w:val="24"/>
                <w:lang w:val="en-US" w:eastAsia="zh-CN"/>
              </w:rPr>
              <w:t>社区具有监控小区所占户数3535户，</w:t>
            </w:r>
            <w:r>
              <w:rPr>
                <w:rFonts w:hint="eastAsia" w:ascii="Times New Roman" w:hAnsi="Times New Roman"/>
                <w:color w:val="auto"/>
                <w:kern w:val="28"/>
                <w:sz w:val="24"/>
                <w:szCs w:val="24"/>
              </w:rPr>
              <w:t>社区家庭总数为</w:t>
            </w:r>
            <w:r>
              <w:rPr>
                <w:rFonts w:hint="eastAsia" w:ascii="Times New Roman" w:hAnsi="Times New Roman"/>
                <w:color w:val="auto"/>
                <w:kern w:val="28"/>
                <w:sz w:val="24"/>
                <w:szCs w:val="24"/>
                <w:lang w:val="en-US" w:eastAsia="zh-CN"/>
              </w:rPr>
              <w:t>3769</w:t>
            </w:r>
            <w:r>
              <w:rPr>
                <w:rFonts w:hint="eastAsia" w:ascii="Times New Roman" w:hAnsi="Times New Roman"/>
                <w:color w:val="auto"/>
                <w:kern w:val="28"/>
                <w:sz w:val="24"/>
                <w:szCs w:val="24"/>
              </w:rPr>
              <w:t>家</w:t>
            </w:r>
            <w:r>
              <w:rPr>
                <w:rFonts w:hint="eastAsia" w:ascii="Times New Roman" w:hAnsi="Times New Roman"/>
                <w:color w:val="auto"/>
                <w:kern w:val="28"/>
                <w:sz w:val="24"/>
                <w:szCs w:val="24"/>
                <w:lang w:eastAsia="zh-CN"/>
              </w:rPr>
              <w:t>，</w:t>
            </w:r>
            <w:r>
              <w:rPr>
                <w:rFonts w:hint="eastAsia" w:ascii="Times New Roman" w:hAnsi="Times New Roman"/>
                <w:color w:val="auto"/>
                <w:kern w:val="28"/>
                <w:sz w:val="24"/>
                <w:szCs w:val="24"/>
                <w:lang w:val="en-US" w:eastAsia="zh-CN"/>
              </w:rPr>
              <w:t>覆盖率93.8%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智能充电设施</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社区内电动自行车集中停放场所和集中充电设施安装情况</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社区内有电动自行车的每个小区拥有符合消防、供电等技术规范和安全管理要求的电动自行车集中停放场所，并具备自动断电功能的智能安全充电设施</w:t>
            </w:r>
          </w:p>
        </w:tc>
        <w:tc>
          <w:tcPr>
            <w:tcW w:w="1010" w:type="pct"/>
            <w:noWrap w:val="0"/>
            <w:vAlign w:val="center"/>
          </w:tcPr>
          <w:p>
            <w:pPr>
              <w:spacing w:line="320" w:lineRule="exact"/>
              <w:rPr>
                <w:rFonts w:hint="eastAsia" w:ascii="仿宋_GB2312" w:hAnsi="仿宋_GB2312" w:eastAsia="仿宋_GB2312" w:cs="仿宋_GB2312"/>
                <w:sz w:val="24"/>
                <w:szCs w:val="24"/>
              </w:rPr>
            </w:pPr>
            <w:r>
              <w:rPr>
                <w:rFonts w:hint="eastAsia" w:ascii="Times New Roman" w:hAnsi="Times New Roman"/>
                <w:color w:val="auto"/>
                <w:kern w:val="28"/>
                <w:sz w:val="24"/>
                <w:szCs w:val="24"/>
                <w:lang w:val="en-US" w:eastAsia="zh-CN"/>
              </w:rPr>
              <w:t>社区具有</w:t>
            </w:r>
            <w:r>
              <w:rPr>
                <w:rFonts w:hint="eastAsia" w:ascii="Times New Roman" w:hAnsi="Times New Roman"/>
                <w:color w:val="auto"/>
                <w:kern w:val="28"/>
                <w:sz w:val="24"/>
                <w:szCs w:val="24"/>
              </w:rPr>
              <w:t>电动自行车集中停放场所和具备定时充电、自动断电、故障报警等功能的智能安全充电设施</w:t>
            </w:r>
            <w:r>
              <w:rPr>
                <w:rFonts w:hint="eastAsia" w:ascii="Times New Roman" w:hAnsi="Times New Roman"/>
                <w:color w:val="auto"/>
                <w:kern w:val="28"/>
                <w:sz w:val="24"/>
                <w:szCs w:val="24"/>
                <w:lang w:eastAsia="zh-CN"/>
              </w:rPr>
              <w:t>的</w:t>
            </w:r>
            <w:r>
              <w:rPr>
                <w:rFonts w:hint="eastAsia" w:ascii="Times New Roman" w:hAnsi="Times New Roman"/>
                <w:color w:val="auto"/>
                <w:kern w:val="28"/>
                <w:sz w:val="24"/>
                <w:szCs w:val="24"/>
                <w:lang w:val="en-US" w:eastAsia="zh-CN"/>
              </w:rPr>
              <w:t>小区</w:t>
            </w:r>
            <w:r>
              <w:rPr>
                <w:rFonts w:hint="eastAsia"/>
                <w:color w:val="auto"/>
                <w:kern w:val="28"/>
                <w:sz w:val="24"/>
                <w:szCs w:val="24"/>
                <w:lang w:val="en-US" w:eastAsia="zh-CN"/>
              </w:rPr>
              <w:t>4</w:t>
            </w:r>
            <w:r>
              <w:rPr>
                <w:rFonts w:hint="eastAsia" w:ascii="Times New Roman" w:hAnsi="Times New Roman"/>
                <w:color w:val="auto"/>
                <w:kern w:val="28"/>
                <w:sz w:val="24"/>
                <w:szCs w:val="24"/>
                <w:lang w:val="en-US" w:eastAsia="zh-CN"/>
              </w:rPr>
              <w:t>个</w:t>
            </w:r>
            <w:r>
              <w:rPr>
                <w:rFonts w:hint="eastAsia"/>
                <w:color w:val="auto"/>
                <w:kern w:val="28"/>
                <w:sz w:val="24"/>
                <w:szCs w:val="24"/>
                <w:lang w:val="en-US" w:eastAsia="zh-CN"/>
              </w:rPr>
              <w:t>居民596余户</w:t>
            </w:r>
            <w:r>
              <w:rPr>
                <w:rFonts w:hint="eastAsia" w:ascii="Times New Roman" w:hAnsi="Times New Roman"/>
                <w:color w:val="auto"/>
                <w:kern w:val="28"/>
                <w:sz w:val="24"/>
                <w:szCs w:val="24"/>
                <w:lang w:val="en-US" w:eastAsia="zh-CN"/>
              </w:rPr>
              <w:t>，社区小区总数为13个，覆盖率</w:t>
            </w:r>
            <w:r>
              <w:rPr>
                <w:rFonts w:hint="eastAsia"/>
                <w:color w:val="auto"/>
                <w:kern w:val="28"/>
                <w:sz w:val="24"/>
                <w:szCs w:val="24"/>
                <w:lang w:val="en-US" w:eastAsia="zh-CN"/>
              </w:rPr>
              <w:t>30.8</w:t>
            </w:r>
            <w:r>
              <w:rPr>
                <w:rFonts w:hint="eastAsia" w:ascii="Times New Roman" w:hAnsi="Times New Roman"/>
                <w:color w:val="auto"/>
                <w:kern w:val="28"/>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智慧社区综合信息平台</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依托市级或县级统建部署的智慧社区综合信息平台为社区居民、社区工作者以及物业服务人等提供一体化的管理和服务</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1.对采集的社区人、地、事、物、情、组织等信息实现集中汇聚、整合管理、动态更新；</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2.实现与智慧物业管理服务平台互联互通；</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整合或新建3个智慧社区应用场景，场景类型一般包括托育服务、教育服务、医疗服务、养老服务、助残服务、就业服务、文体服务、物业服务、便民生活服务、法律服务、社会心理服务、优军优抚服务等社区服务类应用场景和出入管理、周界防范、高空抛物监测、社区警务、特殊人群管理、消防隐患管理、火灾自动报警、应急管理、疫情防控等社区安全类应用场景以及其它特色应用场景</w:t>
            </w:r>
          </w:p>
        </w:tc>
        <w:tc>
          <w:tcPr>
            <w:tcW w:w="1010" w:type="pct"/>
            <w:noWrap w:val="0"/>
            <w:vAlign w:val="center"/>
          </w:tcPr>
          <w:p>
            <w:pPr>
              <w:spacing w:line="320" w:lineRule="exact"/>
              <w:rPr>
                <w:rFonts w:hint="eastAsia" w:ascii="仿宋_GB2312" w:hAnsi="仿宋_GB2312" w:eastAsia="仿宋_GB2312" w:cs="仿宋_GB2312"/>
                <w:sz w:val="24"/>
                <w:szCs w:val="24"/>
              </w:rPr>
            </w:pPr>
            <w:r>
              <w:rPr>
                <w:rFonts w:hint="eastAsia" w:ascii="Times New Roman" w:hAnsi="Times New Roman"/>
                <w:color w:val="auto"/>
                <w:kern w:val="28"/>
                <w:sz w:val="24"/>
                <w:szCs w:val="24"/>
                <w:lang w:val="en-US" w:eastAsia="zh-CN"/>
              </w:rPr>
              <w:t>社区具有</w:t>
            </w:r>
            <w:r>
              <w:rPr>
                <w:rFonts w:hint="eastAsia" w:ascii="Times New Roman" w:hAnsi="Times New Roman"/>
                <w:color w:val="auto"/>
                <w:kern w:val="28"/>
                <w:sz w:val="24"/>
                <w:szCs w:val="24"/>
              </w:rPr>
              <w:t>智慧社区综合信息平台为社区居民、社区工作者以及物业服务人等提供一体化的管理和服务</w:t>
            </w:r>
            <w:r>
              <w:rPr>
                <w:rFonts w:hint="eastAsia" w:ascii="Times New Roman" w:hAnsi="Times New Roman"/>
                <w:color w:val="auto"/>
                <w:kern w:val="2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社区服务</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政务服务</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通过线上线下相结合的方式，推动政务服务办理向社区延伸，提升社区政务服务能力</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社区政务服务场所可为居民提供线下或线上“一站式”政务服务，服务形式包括人工窗口、“爱山东”网上办事体验区等</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color w:val="auto"/>
                <w:kern w:val="28"/>
                <w:sz w:val="24"/>
                <w:szCs w:val="24"/>
              </w:rPr>
              <w:t>在社区居民步行15分钟可达范围内，实现30项高频政务服务事项一站式办理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通过智能化手段，为社区老年人提供助餐、助浴、助洁、助医、助行、助急、助乐等社区养老服务</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60岁及以上常住老年人占比超过30%的社区提供2种社区养老服务</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color w:val="auto"/>
                <w:sz w:val="24"/>
                <w:szCs w:val="24"/>
                <w:highlight w:val="none"/>
                <w:lang w:val="en-US" w:eastAsia="zh-CN"/>
              </w:rPr>
              <w:t>社区依托日间照料中心，为辖区60岁以上老人开展居家养老服务，包括</w:t>
            </w:r>
            <w:r>
              <w:rPr>
                <w:rFonts w:hint="eastAsia"/>
                <w:color w:val="auto"/>
                <w:sz w:val="24"/>
                <w:szCs w:val="24"/>
                <w:highlight w:val="none"/>
              </w:rPr>
              <w:t>助医、助行、助急、助乐等社区养老服务</w:t>
            </w:r>
            <w:r>
              <w:rPr>
                <w:rFonts w:hint="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便民生活服务</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通过智能化手段，满足社区居民多样化的生活服务需求</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社区内按需配备智能便民服务设施，设施类型一般包括智能快件箱、无人售卖机、智能共享直饮水机等</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ascii="Times New Roman" w:hAnsi="Times New Roman"/>
                <w:color w:val="auto"/>
                <w:kern w:val="28"/>
                <w:sz w:val="24"/>
                <w:szCs w:val="24"/>
              </w:rPr>
              <w:t>社区内按需配备智能便民服务设施，包括智能快递柜、快件箱、智能共享直饮水机等</w:t>
            </w:r>
            <w:r>
              <w:rPr>
                <w:rFonts w:hint="eastAsia" w:ascii="Times New Roman" w:hAnsi="Times New Roman"/>
                <w:color w:val="auto"/>
                <w:kern w:val="2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物业（公共事业）服务</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通过智能化手段，提升社区物业管理服务水平</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能够提供水、电、气、暖、物业费等便捷化的线上缴费服务</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color w:val="auto"/>
                <w:sz w:val="24"/>
                <w:szCs w:val="24"/>
                <w:lang w:eastAsia="zh-CN"/>
              </w:rPr>
              <w:t>通过微信居民群、智慧村居平台等，提升社区</w:t>
            </w:r>
            <w:r>
              <w:rPr>
                <w:color w:val="auto"/>
                <w:sz w:val="24"/>
                <w:szCs w:val="24"/>
              </w:rPr>
              <w:t>物业</w:t>
            </w:r>
            <w:r>
              <w:rPr>
                <w:rFonts w:hint="eastAsia"/>
                <w:color w:val="auto"/>
                <w:sz w:val="24"/>
                <w:szCs w:val="24"/>
                <w:lang w:eastAsia="zh-CN"/>
              </w:rPr>
              <w:t>数字化</w:t>
            </w:r>
            <w:r>
              <w:rPr>
                <w:color w:val="auto"/>
                <w:sz w:val="24"/>
                <w:szCs w:val="24"/>
              </w:rPr>
              <w:t>管理服务水平</w:t>
            </w:r>
            <w:r>
              <w:rPr>
                <w:rFonts w:hint="eastAsia"/>
                <w:color w:val="auto"/>
                <w:sz w:val="24"/>
                <w:szCs w:val="24"/>
                <w:lang w:eastAsia="zh-CN"/>
              </w:rPr>
              <w:t>，实现</w:t>
            </w:r>
            <w:r>
              <w:rPr>
                <w:color w:val="auto"/>
                <w:sz w:val="24"/>
                <w:szCs w:val="24"/>
              </w:rPr>
              <w:t>水、电、气、暖、物业费等便捷化的线上缴费服务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社区安全</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社区警务</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依托智慧社区综合信息平台，提高社区平安建设能力水平</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实现治安防范预警信息发布，支持警情发布、社区居民自主上报和社情共享</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color w:val="auto"/>
                <w:sz w:val="24"/>
                <w:szCs w:val="24"/>
                <w:highlight w:val="none"/>
              </w:rPr>
              <w:t>小区监控并入公安网，定期开展警民恳谈会</w:t>
            </w:r>
            <w:r>
              <w:rPr>
                <w:rFonts w:hint="eastAsia"/>
                <w:color w:val="auto"/>
                <w:sz w:val="24"/>
                <w:szCs w:val="24"/>
                <w:highlight w:val="none"/>
                <w:lang w:eastAsia="zh-CN"/>
              </w:rPr>
              <w:t>，网格员与社区民警信息公开，实时发布</w:t>
            </w:r>
            <w:r>
              <w:rPr>
                <w:color w:val="auto"/>
                <w:sz w:val="24"/>
                <w:szCs w:val="24"/>
              </w:rPr>
              <w:t>治安防范预警信息</w:t>
            </w:r>
            <w:r>
              <w:rPr>
                <w:rFonts w:hint="eastAsia"/>
                <w:color w:val="auto"/>
                <w:sz w:val="24"/>
                <w:szCs w:val="24"/>
                <w:lang w:eastAsia="zh-CN"/>
              </w:rPr>
              <w:t>，通过微信居民群实现</w:t>
            </w:r>
            <w:r>
              <w:rPr>
                <w:color w:val="auto"/>
                <w:sz w:val="24"/>
                <w:szCs w:val="24"/>
              </w:rPr>
              <w:t>警情发布、社区居民自主上报和社情共享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出入管理</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实现社区内封闭式小区出入人员和车辆的智能化管理</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社区内封闭式小区出入口部署智能门禁系统，实现人员和车辆的通行认证</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color w:val="auto"/>
                <w:kern w:val="28"/>
                <w:sz w:val="24"/>
                <w:szCs w:val="24"/>
              </w:rPr>
              <w:t>社区内</w:t>
            </w:r>
            <w:r>
              <w:rPr>
                <w:rFonts w:hint="eastAsia" w:ascii="Times New Roman" w:hAnsi="Times New Roman"/>
                <w:color w:val="auto"/>
                <w:kern w:val="28"/>
                <w:sz w:val="24"/>
                <w:szCs w:val="24"/>
                <w:lang w:val="en-US" w:eastAsia="zh-CN"/>
              </w:rPr>
              <w:t>具备</w:t>
            </w:r>
            <w:r>
              <w:rPr>
                <w:rFonts w:hint="eastAsia" w:ascii="Times New Roman" w:hAnsi="Times New Roman"/>
                <w:color w:val="auto"/>
                <w:kern w:val="28"/>
                <w:sz w:val="24"/>
                <w:szCs w:val="24"/>
              </w:rPr>
              <w:t>封闭式小区出入口部署智能门禁系统，实现人员和车辆的小区通行认证</w:t>
            </w:r>
            <w:r>
              <w:rPr>
                <w:rFonts w:hint="eastAsia" w:ascii="Times New Roman" w:hAnsi="Times New Roman"/>
                <w:color w:val="auto"/>
                <w:kern w:val="28"/>
                <w:sz w:val="24"/>
                <w:szCs w:val="24"/>
                <w:lang w:val="en-US" w:eastAsia="zh-CN"/>
              </w:rPr>
              <w:t>条件的小区有8个，社区小区总数13个，覆盖率61.5%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周界防范</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实现社区内封闭式小区周界入侵、攀高、翻越围墙等异常情况监测报警</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社区内封闭式小区通过红外监测、雷达监测、电子围栏、周界视频监控等周界防护设施（至少具备一种），实现入侵监测报警</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eastAsia="宋体"/>
                <w:color w:val="auto"/>
                <w:sz w:val="24"/>
                <w:szCs w:val="24"/>
                <w:lang w:val="en-US" w:eastAsia="zh-CN"/>
              </w:rPr>
              <w:t>社区内具备</w:t>
            </w:r>
            <w:r>
              <w:rPr>
                <w:rFonts w:hint="eastAsia" w:ascii="Times New Roman" w:hAnsi="Times New Roman" w:eastAsia="宋体"/>
                <w:color w:val="auto"/>
                <w:sz w:val="24"/>
                <w:szCs w:val="24"/>
              </w:rPr>
              <w:t>通过周界视频资源的智能化分析，实现入侵检测报警</w:t>
            </w:r>
            <w:r>
              <w:rPr>
                <w:rFonts w:hint="eastAsia" w:ascii="Times New Roman" w:hAnsi="Times New Roman" w:eastAsia="宋体"/>
                <w:color w:val="auto"/>
                <w:sz w:val="24"/>
                <w:szCs w:val="24"/>
                <w:lang w:eastAsia="zh-CN"/>
              </w:rPr>
              <w:t>的</w:t>
            </w:r>
            <w:r>
              <w:rPr>
                <w:rFonts w:hint="eastAsia" w:ascii="Times New Roman" w:hAnsi="Times New Roman" w:eastAsia="宋体"/>
                <w:color w:val="auto"/>
                <w:sz w:val="24"/>
                <w:szCs w:val="24"/>
                <w:lang w:val="en-US" w:eastAsia="zh-CN"/>
              </w:rPr>
              <w:t>小区1个。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高空抛物监测</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在社区内部署高空抛物摄像头，实现高空抛物感知、识别和报警</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社区内19层及以上住宅实现高空抛物监控报警，监控范围覆盖3层及以上所有窗户和洞口</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color w:val="auto"/>
                <w:sz w:val="24"/>
                <w:szCs w:val="24"/>
                <w:lang w:val="en-US" w:eastAsia="zh-CN"/>
              </w:rPr>
              <w:t>社区无19层及以上的住宅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消防隐患管理</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通过智能化手段，识别社区公共区域的消防隐患，提升社区消防安全管理水平</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社区内50%小区实现电动车进电梯智能识别、自动报警</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color w:val="auto"/>
                <w:kern w:val="28"/>
                <w:sz w:val="24"/>
                <w:szCs w:val="24"/>
                <w:lang w:val="en-US" w:eastAsia="zh-CN"/>
              </w:rPr>
              <w:t>社区在有条件的小区设立微型消防站，确保各类消防设施正常使用，小区电梯内设有职能摄像头，可实现火灾等险情报警。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火灾自动报警</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通过智能化手段，实现火灾自动报警，提高社区火情处置能力</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社区内住宅建筑公共区域实现火灾自动报警系统全覆盖</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ascii="Times New Roman" w:hAnsi="Times New Roman"/>
                <w:color w:val="auto"/>
                <w:kern w:val="28"/>
                <w:sz w:val="24"/>
                <w:szCs w:val="24"/>
              </w:rPr>
              <w:t>社区内住宅建筑公共区域实现火灾自动报警系统全覆盖</w:t>
            </w:r>
            <w:r>
              <w:rPr>
                <w:rFonts w:hint="eastAsia" w:ascii="Times New Roman" w:hAnsi="Times New Roman"/>
                <w:color w:val="auto"/>
                <w:kern w:val="2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社区治理</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治理方式创新</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依托智慧社区综合信息平台，提升社区治理精细化、智能化水平</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1.依托智慧社区综合信息平台，发挥数字技术在社区治理和辅助决策中的作用；</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2.推动社区党建工作与党员管理服务信息化，实现社区党员、社区工作者等信息统一采集入库</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color w:val="auto"/>
                <w:sz w:val="24"/>
                <w:szCs w:val="24"/>
                <w:lang w:eastAsia="zh-CN"/>
              </w:rPr>
              <w:t>依托智慧社区综合信息管理平台，实现党建工作、党员信息管理、社区工作者等信息统一管理；在社区基层治理中各类数据实现动态更新，提升社区各项工作开展的针对性。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居民参与共治</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运用智能化手段，进一步拓宽、畅通群众参与渠道，不断优化共建共治共享工作机制</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1.采用网上选民登记等方式开展民主选举工作；</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2.按需组织线上议事协商活动；</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3.党务、居务、财务线上线下同步公开，接受群众监督</w:t>
            </w:r>
          </w:p>
        </w:tc>
        <w:tc>
          <w:tcPr>
            <w:tcW w:w="1010" w:type="pct"/>
            <w:noWrap w:val="0"/>
            <w:vAlign w:val="center"/>
          </w:tcPr>
          <w:p>
            <w:pPr>
              <w:spacing w:line="320" w:lineRule="exact"/>
              <w:rPr>
                <w:rFonts w:hint="eastAsia" w:ascii="仿宋_GB2312" w:hAnsi="仿宋_GB2312" w:eastAsia="仿宋_GB2312" w:cs="仿宋_GB2312"/>
                <w:sz w:val="24"/>
                <w:szCs w:val="24"/>
              </w:rPr>
            </w:pPr>
            <w:r>
              <w:rPr>
                <w:rFonts w:hint="eastAsia" w:ascii="Times New Roman" w:hAnsi="Times New Roman"/>
                <w:color w:val="auto"/>
                <w:kern w:val="28"/>
                <w:sz w:val="24"/>
                <w:szCs w:val="24"/>
                <w:lang w:val="en-US" w:eastAsia="zh-CN"/>
              </w:rPr>
              <w:t>社区具备</w:t>
            </w:r>
            <w:r>
              <w:rPr>
                <w:rFonts w:hint="eastAsia" w:ascii="Times New Roman" w:hAnsi="Times New Roman"/>
                <w:color w:val="auto"/>
                <w:kern w:val="28"/>
                <w:sz w:val="24"/>
                <w:szCs w:val="24"/>
              </w:rPr>
              <w:t>社区党员和党组织信息统一采集入库；社区工作者基础信息统一采集入库；线上线下“三务”同步公开；每年开展2次线上议事协商活动</w:t>
            </w:r>
            <w:r>
              <w:rPr>
                <w:rFonts w:hint="eastAsia" w:ascii="Times New Roman" w:hAnsi="Times New Roman"/>
                <w:color w:val="auto"/>
                <w:kern w:val="2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疫情防控</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依托智慧社区综合信息平台，提高社区疫情防控工作的精细化、智能化、科学化水平</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1.实现疫苗接种、核酸检测、重点人员等防控信息管理；</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2.实时发布当地疫情防控的政策措施，实现疫情信息动态更新</w:t>
            </w:r>
          </w:p>
        </w:tc>
        <w:tc>
          <w:tcPr>
            <w:tcW w:w="1010" w:type="pct"/>
            <w:noWrap w:val="0"/>
            <w:vAlign w:val="top"/>
          </w:tcPr>
          <w:p>
            <w:pPr>
              <w:rPr>
                <w:rFonts w:hint="eastAsia" w:ascii="Calibri" w:hAnsi="Calibri" w:eastAsia="宋体" w:cs="Times New Roman"/>
                <w:color w:val="auto"/>
                <w:kern w:val="2"/>
                <w:sz w:val="24"/>
                <w:szCs w:val="24"/>
                <w:lang w:val="en-US" w:eastAsia="zh-CN" w:bidi="ar-SA"/>
              </w:rPr>
            </w:pPr>
            <w:r>
              <w:rPr>
                <w:rFonts w:hint="eastAsia" w:ascii="Times New Roman" w:hAnsi="Times New Roman" w:cs="Times New Roman"/>
                <w:color w:val="auto"/>
                <w:kern w:val="28"/>
                <w:sz w:val="24"/>
                <w:szCs w:val="24"/>
                <w:lang w:eastAsia="zh-CN"/>
              </w:rPr>
              <w:t>社区</w:t>
            </w:r>
            <w:r>
              <w:rPr>
                <w:rFonts w:hint="eastAsia" w:ascii="Times New Roman" w:hAnsi="Times New Roman" w:cs="Times New Roman"/>
                <w:color w:val="auto"/>
                <w:kern w:val="28"/>
                <w:sz w:val="24"/>
                <w:szCs w:val="24"/>
              </w:rPr>
              <w:t>利用</w:t>
            </w:r>
            <w:r>
              <w:rPr>
                <w:rFonts w:hint="eastAsia" w:ascii="Times New Roman" w:hAnsi="Times New Roman" w:cs="Times New Roman"/>
                <w:color w:val="auto"/>
                <w:kern w:val="28"/>
                <w:sz w:val="24"/>
                <w:szCs w:val="24"/>
                <w:lang w:eastAsia="zh-CN"/>
              </w:rPr>
              <w:t>智慧村居</w:t>
            </w:r>
            <w:r>
              <w:rPr>
                <w:rFonts w:hint="eastAsia" w:ascii="Times New Roman" w:hAnsi="Times New Roman" w:cs="Times New Roman"/>
                <w:color w:val="auto"/>
                <w:kern w:val="28"/>
                <w:sz w:val="24"/>
                <w:szCs w:val="24"/>
              </w:rPr>
              <w:t>专业大数据管理优势，将日常疫情防控措施融入平台之中，包括对重点地区来</w:t>
            </w:r>
            <w:r>
              <w:rPr>
                <w:rFonts w:hint="eastAsia" w:ascii="Times New Roman" w:hAnsi="Times New Roman" w:cs="Times New Roman"/>
                <w:color w:val="auto"/>
                <w:kern w:val="28"/>
                <w:sz w:val="24"/>
                <w:szCs w:val="24"/>
                <w:lang w:eastAsia="zh-CN"/>
              </w:rPr>
              <w:t>淄</w:t>
            </w:r>
            <w:r>
              <w:rPr>
                <w:rFonts w:hint="eastAsia" w:ascii="Times New Roman" w:hAnsi="Times New Roman" w:cs="Times New Roman"/>
                <w:color w:val="auto"/>
                <w:kern w:val="28"/>
                <w:sz w:val="24"/>
                <w:szCs w:val="24"/>
              </w:rPr>
              <w:t>人员的科学管控、对发热门诊等重点场所的严格管理及“点对点”转运车辆等重点环节的有效监管等，助力疫情防控。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restar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保障措施</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宣传普及</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面向社区居民，宣传普及智慧社区建设成效</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每年开展1次智慧社区宣传普及活动</w:t>
            </w:r>
          </w:p>
        </w:tc>
        <w:tc>
          <w:tcPr>
            <w:tcW w:w="1010" w:type="pct"/>
            <w:noWrap w:val="0"/>
            <w:vAlign w:val="top"/>
          </w:tcPr>
          <w:p>
            <w:pPr>
              <w:rPr>
                <w:rFonts w:hint="eastAsia" w:ascii="Calibri" w:hAnsi="Calibri" w:eastAsia="仿宋" w:cs="Times New Roman"/>
                <w:color w:val="auto"/>
                <w:kern w:val="2"/>
                <w:sz w:val="24"/>
                <w:szCs w:val="24"/>
                <w:lang w:val="en-US" w:eastAsia="zh-CN" w:bidi="ar-SA"/>
              </w:rPr>
            </w:pPr>
            <w:r>
              <w:rPr>
                <w:rFonts w:hint="eastAsia" w:ascii="Times New Roman" w:hAnsi="Times New Roman"/>
                <w:color w:val="auto"/>
                <w:kern w:val="28"/>
                <w:sz w:val="24"/>
                <w:szCs w:val="24"/>
                <w:lang w:val="en-US" w:eastAsia="zh-CN"/>
              </w:rPr>
              <w:t>社区</w:t>
            </w:r>
            <w:r>
              <w:rPr>
                <w:rFonts w:hint="eastAsia" w:ascii="Times New Roman" w:hAnsi="Times New Roman"/>
                <w:color w:val="auto"/>
                <w:kern w:val="28"/>
                <w:sz w:val="24"/>
                <w:szCs w:val="24"/>
              </w:rPr>
              <w:t>每年开展1次</w:t>
            </w:r>
            <w:r>
              <w:rPr>
                <w:rFonts w:hint="eastAsia" w:ascii="Times New Roman" w:hAnsi="Times New Roman"/>
                <w:color w:val="auto"/>
                <w:kern w:val="28"/>
                <w:sz w:val="24"/>
                <w:szCs w:val="24"/>
                <w:lang w:val="en-US" w:eastAsia="zh-CN"/>
              </w:rPr>
              <w:t>以上</w:t>
            </w:r>
            <w:r>
              <w:rPr>
                <w:rFonts w:hint="eastAsia" w:ascii="Times New Roman" w:hAnsi="Times New Roman"/>
                <w:color w:val="auto"/>
                <w:kern w:val="28"/>
                <w:sz w:val="24"/>
                <w:szCs w:val="24"/>
              </w:rPr>
              <w:t>智慧社区宣传普及活动</w:t>
            </w:r>
            <w:r>
              <w:rPr>
                <w:rFonts w:hint="eastAsia" w:ascii="Times New Roman" w:hAnsi="Times New Roman"/>
                <w:color w:val="auto"/>
                <w:kern w:val="2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6" w:type="pct"/>
            <w:vMerge w:val="continue"/>
            <w:noWrap w:val="0"/>
            <w:vAlign w:val="center"/>
          </w:tcPr>
          <w:p>
            <w:pPr>
              <w:spacing w:line="320" w:lineRule="exact"/>
              <w:jc w:val="center"/>
              <w:rPr>
                <w:rFonts w:ascii="仿宋_GB2312" w:hAnsi="仿宋_GB2312" w:eastAsia="仿宋_GB2312" w:cs="仿宋_GB2312"/>
                <w:sz w:val="24"/>
                <w:szCs w:val="24"/>
              </w:rPr>
            </w:pP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信息安全</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建立长效的社区信息安全保护机制，确保社区安全稳定</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1.智慧社区综合信息平台采用加密等安全措施保障社区居民个人信息安全；</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2.智慧社区综合信息平台实现管理人员、操作人员、运维人员的分级授权管理，严格限定信息的访问、下载权限和使用范围，对人员操作过程进行记录并采取技术措施确保记录不可修改、删除</w:t>
            </w:r>
          </w:p>
        </w:tc>
        <w:tc>
          <w:tcPr>
            <w:tcW w:w="1010" w:type="pct"/>
            <w:noWrap w:val="0"/>
            <w:vAlign w:val="center"/>
          </w:tcPr>
          <w:p>
            <w:pPr>
              <w:spacing w:line="320" w:lineRule="exact"/>
              <w:rPr>
                <w:rFonts w:hint="eastAsia" w:ascii="仿宋_GB2312" w:hAnsi="仿宋_GB2312" w:eastAsia="仿宋_GB2312" w:cs="仿宋_GB2312"/>
                <w:sz w:val="24"/>
                <w:szCs w:val="24"/>
              </w:rPr>
            </w:pPr>
            <w:r>
              <w:rPr>
                <w:rFonts w:hint="eastAsia"/>
                <w:color w:val="auto"/>
                <w:sz w:val="24"/>
                <w:szCs w:val="24"/>
                <w:highlight w:val="none"/>
                <w:lang w:val="en-US" w:eastAsia="zh-CN"/>
              </w:rPr>
              <w:t>社区依托智慧村居等信息平台，并对社区工作者和网格员进行专门培训，</w:t>
            </w:r>
            <w:r>
              <w:rPr>
                <w:rFonts w:hint="eastAsia"/>
                <w:color w:val="auto"/>
                <w:sz w:val="24"/>
                <w:szCs w:val="24"/>
                <w:highlight w:val="none"/>
              </w:rPr>
              <w:t>对人员操作过程进行</w:t>
            </w:r>
            <w:r>
              <w:rPr>
                <w:rFonts w:hint="eastAsia"/>
                <w:color w:val="auto"/>
                <w:sz w:val="24"/>
                <w:szCs w:val="24"/>
                <w:highlight w:val="none"/>
                <w:lang w:val="en-US" w:eastAsia="zh-CN"/>
              </w:rPr>
              <w:t>实时记录，确保居民个人信息安全。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5" w:hRule="atLeast"/>
          <w:jc w:val="center"/>
        </w:trPr>
        <w:tc>
          <w:tcPr>
            <w:tcW w:w="296"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创新应用和做法</w:t>
            </w:r>
          </w:p>
        </w:tc>
        <w:tc>
          <w:tcPr>
            <w:tcW w:w="226" w:type="pct"/>
            <w:tcBorders>
              <w:top w:val="single" w:color="auto" w:sz="4" w:space="0"/>
              <w:left w:val="nil"/>
              <w:bottom w:val="single" w:color="auto" w:sz="4" w:space="0"/>
              <w:right w:val="nil"/>
            </w:tcBorders>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594" w:type="pct"/>
            <w:noWrap w:val="0"/>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创新应用场景</w:t>
            </w:r>
          </w:p>
        </w:tc>
        <w:tc>
          <w:tcPr>
            <w:tcW w:w="1462"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结合社区实际情况，依托智慧社区综合信息平台，聚焦急需解决的痛点难点，在充分征求社区居民意见的基础上，打造居民满意度高、运营模式成熟的创新应用场景，切实提升社区居民的获得感、幸福感、安全感</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注：如针对老旧小区、集中安置小区等居民停车难问题，通过打造智慧停车应用场景，规范车辆停放秩序，实现泊位信息实时查询，提高泊位利用率</w:t>
            </w:r>
          </w:p>
        </w:tc>
        <w:tc>
          <w:tcPr>
            <w:tcW w:w="1411" w:type="pct"/>
            <w:noWrap w:val="0"/>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形成1项创新应用场景</w:t>
            </w:r>
          </w:p>
        </w:tc>
        <w:tc>
          <w:tcPr>
            <w:tcW w:w="1010" w:type="pct"/>
            <w:noWrap w:val="0"/>
            <w:vAlign w:val="top"/>
          </w:tcPr>
          <w:p>
            <w:pPr>
              <w:rPr>
                <w:rFonts w:hint="default" w:ascii="Calibri" w:hAnsi="Calibri" w:eastAsia="仿宋" w:cs="Times New Roman"/>
                <w:color w:val="auto"/>
                <w:kern w:val="2"/>
                <w:sz w:val="24"/>
                <w:szCs w:val="24"/>
                <w:lang w:val="en-US" w:eastAsia="zh-CN" w:bidi="ar-SA"/>
              </w:rPr>
            </w:pPr>
            <w:r>
              <w:rPr>
                <w:rFonts w:hint="eastAsia" w:eastAsia="仿宋" w:cs="Times New Roman"/>
                <w:color w:val="auto"/>
                <w:kern w:val="2"/>
                <w:sz w:val="24"/>
                <w:szCs w:val="24"/>
                <w:lang w:val="en-US" w:eastAsia="zh-CN" w:bidi="ar-SA"/>
              </w:rPr>
              <w:t>社区正在打造正德学府红色驿站，更加方便居民，满足居民需求。</w:t>
            </w:r>
            <w:bookmarkStart w:id="0" w:name="_GoBack"/>
            <w:bookmarkEnd w:id="0"/>
          </w:p>
        </w:tc>
      </w:tr>
    </w:tbl>
    <w:p>
      <w:pPr>
        <w:widowControl/>
        <w:jc w:val="left"/>
        <w:rPr>
          <w:rFonts w:hint="eastAsia" w:eastAsia="宋体"/>
          <w:lang w:eastAsia="zh-CN"/>
        </w:rPr>
      </w:pPr>
    </w:p>
    <w:p>
      <w:pPr>
        <w:pStyle w:val="2"/>
        <w:rPr>
          <w:rFonts w:hint="eastAsia"/>
          <w:lang w:eastAsia="zh-CN"/>
        </w:rPr>
      </w:pPr>
    </w:p>
    <w:p>
      <w:pPr>
        <w:spacing w:line="420" w:lineRule="exact"/>
        <w:ind w:firstLine="62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公示期</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天（自</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日始—</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日止）。</w:t>
      </w:r>
    </w:p>
    <w:p>
      <w:pPr>
        <w:spacing w:line="420" w:lineRule="exact"/>
        <w:ind w:firstLine="62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如有异议，请在公示期内向淄博市大数据局反馈。</w:t>
      </w:r>
    </w:p>
    <w:p>
      <w:pPr>
        <w:spacing w:line="420" w:lineRule="exact"/>
        <w:ind w:firstLine="62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联系单位：淄博市大数据局</w:t>
      </w:r>
    </w:p>
    <w:p>
      <w:pPr>
        <w:spacing w:line="420" w:lineRule="exact"/>
        <w:ind w:firstLine="62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联系人：张磊、田琦</w:t>
      </w:r>
    </w:p>
    <w:p>
      <w:pPr>
        <w:spacing w:line="420" w:lineRule="exact"/>
        <w:ind w:firstLine="629"/>
        <w:rPr>
          <w:rFonts w:hint="eastAsia" w:ascii="Times New Roman" w:hAnsi="Times New Roman" w:eastAsia="仿宋_GB2312" w:cs="Times New Roman"/>
          <w:sz w:val="32"/>
          <w:szCs w:val="32"/>
          <w:lang w:val="en-US" w:eastAsia="zh-CN"/>
        </w:rPr>
        <w:sectPr>
          <w:footerReference r:id="rId5" w:type="first"/>
          <w:footerReference r:id="rId3" w:type="default"/>
          <w:footerReference r:id="rId4" w:type="even"/>
          <w:pgSz w:w="11906" w:h="16838"/>
          <w:pgMar w:top="2041" w:right="1531" w:bottom="1701" w:left="1531" w:header="851" w:footer="992" w:gutter="0"/>
          <w:cols w:space="720" w:num="1"/>
          <w:titlePg/>
          <w:docGrid w:type="lines" w:linePitch="312" w:charSpace="0"/>
        </w:sectPr>
      </w:pPr>
      <w:r>
        <w:rPr>
          <w:rFonts w:hint="eastAsia" w:ascii="Times New Roman" w:hAnsi="Times New Roman" w:eastAsia="仿宋_GB2312" w:cs="Times New Roman"/>
          <w:sz w:val="32"/>
          <w:szCs w:val="32"/>
        </w:rPr>
        <w:t>联系电话：3</w:t>
      </w:r>
      <w:r>
        <w:rPr>
          <w:rFonts w:ascii="Times New Roman" w:hAnsi="Times New Roman" w:eastAsia="仿宋_GB2312" w:cs="Times New Roman"/>
          <w:sz w:val="32"/>
          <w:szCs w:val="32"/>
        </w:rPr>
        <w:t>189227</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18035</w:t>
      </w:r>
      <w:r>
        <w:rPr>
          <w:rFonts w:hint="eastAsia" w:ascii="Times New Roman" w:hAnsi="Times New Roman" w:eastAsia="仿宋_GB2312" w:cs="Times New Roman"/>
          <w:sz w:val="32"/>
          <w:szCs w:val="32"/>
          <w:lang w:val="en-US" w:eastAsia="zh-CN"/>
        </w:rPr>
        <w:t>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right="154"/>
      <w:jc w:val="right"/>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spacing w:before="240"/>
                            <w:ind w:right="154"/>
                            <w:jc w:val="right"/>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t xml:space="preserve"> —</w:t>
                          </w:r>
                        </w:p>
                        <w:p>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4"/>
                      <w:spacing w:before="240"/>
                      <w:ind w:right="154"/>
                      <w:jc w:val="right"/>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t xml:space="preserve"> —</w:t>
                    </w:r>
                  </w:p>
                  <w:p>
                    <w:pPr>
                      <w:rPr>
                        <w:rFonts w:ascii="Times New Roman" w:hAnsi="Times New Roman"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right="154"/>
      <w:rPr>
        <w:rFonts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spacing w:before="240"/>
                            <w:ind w:right="154"/>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t xml:space="preserve"> —</w:t>
                          </w:r>
                        </w:p>
                        <w:p>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owdo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9ujB2jgCAABvBAAADgAAAAAAAAABACAAAAAfAQAAZHJzL2Uyb0RvYy54&#10;bWxQSwUGAAAAAAYABgBZAQAAyQUAAAAA&#10;">
              <v:fill on="f" focussize="0,0"/>
              <v:stroke on="f" weight="0.5pt"/>
              <v:imagedata o:title=""/>
              <o:lock v:ext="edit" aspectratio="f"/>
              <v:textbox inset="0mm,0mm,0mm,0mm" style="mso-fit-shape-to-text:t;">
                <w:txbxContent>
                  <w:p>
                    <w:pPr>
                      <w:pStyle w:val="4"/>
                      <w:spacing w:before="240"/>
                      <w:ind w:right="154"/>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t xml:space="preserve"> —</w:t>
                    </w:r>
                  </w:p>
                  <w:p>
                    <w:pPr>
                      <w:rPr>
                        <w:rFonts w:ascii="Times New Roman" w:hAnsi="Times New Roman" w:cs="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right="154"/>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uCWs4AgAAb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mRDOFhp++fzv9&#10;+HX6+ZVcRX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Je4Ja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MTEyYmVhZjVkYjNmMzc2M2IyYTA5OWRlMTE5ODUifQ=="/>
  </w:docVars>
  <w:rsids>
    <w:rsidRoot w:val="217D70F9"/>
    <w:rsid w:val="217D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semiHidden/>
    <w:qFormat/>
    <w:uiPriority w:val="0"/>
    <w:pPr>
      <w:spacing w:after="120"/>
      <w:ind w:left="420" w:leftChars="200" w:firstLine="420" w:firstLineChars="200"/>
    </w:pPr>
  </w:style>
  <w:style w:type="paragraph" w:styleId="3">
    <w:name w:val="Body Text Indent"/>
    <w:basedOn w:val="1"/>
    <w:next w:val="1"/>
    <w:semiHidden/>
    <w:qFormat/>
    <w:uiPriority w:val="0"/>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标题行"/>
    <w:qFormat/>
    <w:uiPriority w:val="0"/>
    <w:pPr>
      <w:spacing w:line="320" w:lineRule="exact"/>
      <w:jc w:val="center"/>
    </w:pPr>
    <w:rPr>
      <w:rFonts w:ascii="黑体" w:hAnsi="黑体" w:eastAsia="黑体" w:cs="Times New Roman"/>
      <w:kern w:val="2"/>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2022-12-09T03:04:00Z</dcterms:created>
  <dc:creator>不一定是哪一个</dc:creator>
  <cp:lastModifiedBy>不一定是哪一个</cp:lastModifiedBy>
  <dcterms:modified xsi:type="dcterms:W3CDTF">2022-12-09T08:17:44Z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82C775516434476C94A9E493118337CB</vt:lpwstr>
  </property>
</Properties>
</file>