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val="0"/>
          <w:i w:val="0"/>
          <w:caps w:val="0"/>
          <w:color w:val="000000"/>
          <w:spacing w:val="0"/>
          <w:sz w:val="36"/>
          <w:szCs w:val="36"/>
        </w:rPr>
      </w:pPr>
      <w:bookmarkStart w:id="0" w:name="_GoBack"/>
      <w:r>
        <w:rPr>
          <w:rFonts w:hint="eastAsia" w:ascii="方正小标宋简体" w:hAnsi="方正小标宋简体" w:eastAsia="方正小标宋简体" w:cs="方正小标宋简体"/>
          <w:b w:val="0"/>
          <w:i w:val="0"/>
          <w:caps w:val="0"/>
          <w:color w:val="000000"/>
          <w:spacing w:val="0"/>
          <w:sz w:val="36"/>
          <w:szCs w:val="36"/>
          <w:shd w:val="clear" w:fill="FFFFFF"/>
          <w:lang w:eastAsia="zh-CN"/>
        </w:rPr>
        <w:t>周村区</w:t>
      </w:r>
      <w:r>
        <w:rPr>
          <w:rFonts w:ascii="方正小标宋简体" w:hAnsi="方正小标宋简体" w:eastAsia="方正小标宋简体" w:cs="方正小标宋简体"/>
          <w:b w:val="0"/>
          <w:i w:val="0"/>
          <w:caps w:val="0"/>
          <w:color w:val="000000"/>
          <w:spacing w:val="0"/>
          <w:sz w:val="36"/>
          <w:szCs w:val="36"/>
          <w:shd w:val="clear" w:fill="FFFFFF"/>
        </w:rPr>
        <w:t>新闻出版版权领域基层政务公开标准目录</w:t>
      </w:r>
    </w:p>
    <w:tbl>
      <w:tblPr>
        <w:tblStyle w:val="3"/>
        <w:tblpPr w:leftFromText="180" w:rightFromText="180" w:vertAnchor="text" w:horzAnchor="page" w:tblpX="4" w:tblpY="2238"/>
        <w:tblOverlap w:val="never"/>
        <w:tblW w:w="1181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4"/>
        <w:gridCol w:w="665"/>
        <w:gridCol w:w="947"/>
        <w:gridCol w:w="1487"/>
        <w:gridCol w:w="2049"/>
        <w:gridCol w:w="922"/>
        <w:gridCol w:w="951"/>
        <w:gridCol w:w="1280"/>
        <w:gridCol w:w="353"/>
        <w:gridCol w:w="570"/>
        <w:gridCol w:w="377"/>
        <w:gridCol w:w="677"/>
        <w:gridCol w:w="389"/>
        <w:gridCol w:w="6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2" w:hRule="atLeast"/>
        </w:trPr>
        <w:tc>
          <w:tcPr>
            <w:tcW w:w="549" w:type="dxa"/>
            <w:vMerge w:val="restart"/>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hAnsi="宋体" w:eastAsia="黑体" w:cs="黑体"/>
                <w:sz w:val="24"/>
                <w:szCs w:val="24"/>
              </w:rPr>
              <w:t>序号</w:t>
            </w:r>
          </w:p>
        </w:tc>
        <w:tc>
          <w:tcPr>
            <w:tcW w:w="1625" w:type="dxa"/>
            <w:gridSpan w:val="2"/>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公开事项</w:t>
            </w:r>
          </w:p>
        </w:tc>
        <w:tc>
          <w:tcPr>
            <w:tcW w:w="1503" w:type="dxa"/>
            <w:vMerge w:val="restart"/>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（要素）</w:t>
            </w:r>
          </w:p>
        </w:tc>
        <w:tc>
          <w:tcPr>
            <w:tcW w:w="2070" w:type="dxa"/>
            <w:vMerge w:val="restart"/>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公开依据</w:t>
            </w:r>
          </w:p>
        </w:tc>
        <w:tc>
          <w:tcPr>
            <w:tcW w:w="929" w:type="dxa"/>
            <w:vMerge w:val="restart"/>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公开时限 </w:t>
            </w:r>
          </w:p>
        </w:tc>
        <w:tc>
          <w:tcPr>
            <w:tcW w:w="962" w:type="dxa"/>
            <w:vMerge w:val="restart"/>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公开主体</w:t>
            </w:r>
          </w:p>
        </w:tc>
        <w:tc>
          <w:tcPr>
            <w:tcW w:w="1296" w:type="dxa"/>
            <w:vMerge w:val="restart"/>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和载体</w:t>
            </w:r>
          </w:p>
        </w:tc>
        <w:tc>
          <w:tcPr>
            <w:tcW w:w="930" w:type="dxa"/>
            <w:gridSpan w:val="2"/>
            <w:tcBorders>
              <w:top w:val="single" w:color="000000" w:sz="8" w:space="0"/>
              <w:left w:val="single" w:color="000000" w:sz="8" w:space="0"/>
              <w:bottom w:val="nil"/>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公开对象</w:t>
            </w:r>
          </w:p>
        </w:tc>
        <w:tc>
          <w:tcPr>
            <w:tcW w:w="1063" w:type="dxa"/>
            <w:gridSpan w:val="2"/>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公开方式</w:t>
            </w:r>
          </w:p>
        </w:tc>
        <w:tc>
          <w:tcPr>
            <w:tcW w:w="88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4" w:hRule="atLeast"/>
        </w:trPr>
        <w:tc>
          <w:tcPr>
            <w:tcW w:w="549" w:type="dxa"/>
            <w:vMerge w:val="continue"/>
            <w:tcBorders>
              <w:top w:val="single" w:color="000000" w:sz="8" w:space="0"/>
              <w:left w:val="single" w:color="000000" w:sz="8" w:space="0"/>
              <w:bottom w:val="single" w:color="000000" w:sz="8" w:space="0"/>
              <w:right w:val="nil"/>
            </w:tcBorders>
            <w:shd w:val="clear" w:color="auto" w:fill="auto"/>
            <w:vAlign w:val="center"/>
          </w:tcPr>
          <w:p>
            <w:pPr>
              <w:rPr>
                <w:rFonts w:hint="eastAsia" w:ascii="宋体"/>
                <w:sz w:val="24"/>
                <w:szCs w:val="24"/>
              </w:rPr>
            </w:pPr>
          </w:p>
        </w:tc>
        <w:tc>
          <w:tcPr>
            <w:tcW w:w="671"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一级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事项</w:t>
            </w:r>
          </w:p>
        </w:tc>
        <w:tc>
          <w:tcPr>
            <w:tcW w:w="954"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二级事项</w:t>
            </w:r>
          </w:p>
        </w:tc>
        <w:tc>
          <w:tcPr>
            <w:tcW w:w="1503" w:type="dxa"/>
            <w:vMerge w:val="continue"/>
            <w:tcBorders>
              <w:top w:val="single" w:color="000000" w:sz="8" w:space="0"/>
              <w:left w:val="single" w:color="000000" w:sz="8" w:space="0"/>
              <w:bottom w:val="single" w:color="000000" w:sz="8" w:space="0"/>
              <w:right w:val="nil"/>
            </w:tcBorders>
            <w:shd w:val="clear" w:color="auto" w:fill="auto"/>
            <w:vAlign w:val="center"/>
          </w:tcPr>
          <w:p>
            <w:pPr>
              <w:rPr>
                <w:rFonts w:hint="eastAsia" w:ascii="宋体"/>
                <w:sz w:val="24"/>
                <w:szCs w:val="24"/>
              </w:rPr>
            </w:pPr>
          </w:p>
        </w:tc>
        <w:tc>
          <w:tcPr>
            <w:tcW w:w="2070" w:type="dxa"/>
            <w:vMerge w:val="continue"/>
            <w:tcBorders>
              <w:top w:val="single" w:color="000000" w:sz="8" w:space="0"/>
              <w:left w:val="single" w:color="000000" w:sz="8" w:space="0"/>
              <w:bottom w:val="single" w:color="000000" w:sz="8" w:space="0"/>
              <w:right w:val="nil"/>
            </w:tcBorders>
            <w:shd w:val="clear" w:color="auto" w:fill="auto"/>
            <w:vAlign w:val="center"/>
          </w:tcPr>
          <w:p>
            <w:pPr>
              <w:rPr>
                <w:rFonts w:hint="eastAsia" w:ascii="宋体"/>
                <w:sz w:val="24"/>
                <w:szCs w:val="24"/>
              </w:rPr>
            </w:pPr>
          </w:p>
        </w:tc>
        <w:tc>
          <w:tcPr>
            <w:tcW w:w="929" w:type="dxa"/>
            <w:vMerge w:val="continue"/>
            <w:tcBorders>
              <w:top w:val="single" w:color="000000" w:sz="8" w:space="0"/>
              <w:left w:val="single" w:color="000000" w:sz="8" w:space="0"/>
              <w:bottom w:val="single" w:color="000000" w:sz="8" w:space="0"/>
              <w:right w:val="nil"/>
            </w:tcBorders>
            <w:shd w:val="clear" w:color="auto" w:fill="auto"/>
            <w:vAlign w:val="center"/>
          </w:tcPr>
          <w:p>
            <w:pPr>
              <w:rPr>
                <w:rFonts w:hint="eastAsia" w:ascii="宋体"/>
                <w:sz w:val="24"/>
                <w:szCs w:val="24"/>
              </w:rPr>
            </w:pPr>
          </w:p>
        </w:tc>
        <w:tc>
          <w:tcPr>
            <w:tcW w:w="962" w:type="dxa"/>
            <w:vMerge w:val="continue"/>
            <w:tcBorders>
              <w:top w:val="single" w:color="000000" w:sz="8" w:space="0"/>
              <w:left w:val="single" w:color="000000" w:sz="8" w:space="0"/>
              <w:bottom w:val="single" w:color="000000" w:sz="8" w:space="0"/>
              <w:right w:val="nil"/>
            </w:tcBorders>
            <w:shd w:val="clear" w:color="auto" w:fill="auto"/>
            <w:vAlign w:val="center"/>
          </w:tcPr>
          <w:p>
            <w:pPr>
              <w:rPr>
                <w:rFonts w:hint="eastAsia" w:ascii="宋体"/>
                <w:sz w:val="24"/>
                <w:szCs w:val="24"/>
              </w:rPr>
            </w:pPr>
          </w:p>
        </w:tc>
        <w:tc>
          <w:tcPr>
            <w:tcW w:w="1296" w:type="dxa"/>
            <w:vMerge w:val="continue"/>
            <w:tcBorders>
              <w:top w:val="single" w:color="000000" w:sz="8" w:space="0"/>
              <w:left w:val="single" w:color="000000" w:sz="8" w:space="0"/>
              <w:bottom w:val="single" w:color="000000" w:sz="8" w:space="0"/>
              <w:right w:val="nil"/>
            </w:tcBorders>
            <w:shd w:val="clear" w:color="auto" w:fill="auto"/>
            <w:vAlign w:val="center"/>
          </w:tcPr>
          <w:p>
            <w:pPr>
              <w:rPr>
                <w:rFonts w:hint="eastAsia" w:ascii="宋体"/>
                <w:sz w:val="24"/>
                <w:szCs w:val="24"/>
              </w:rPr>
            </w:pPr>
          </w:p>
        </w:tc>
        <w:tc>
          <w:tcPr>
            <w:tcW w:w="355"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全社会</w:t>
            </w:r>
          </w:p>
        </w:tc>
        <w:tc>
          <w:tcPr>
            <w:tcW w:w="575"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特定群众</w:t>
            </w:r>
          </w:p>
        </w:tc>
        <w:tc>
          <w:tcPr>
            <w:tcW w:w="379" w:type="dxa"/>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主动公开</w:t>
            </w:r>
          </w:p>
        </w:tc>
        <w:tc>
          <w:tcPr>
            <w:tcW w:w="684" w:type="dxa"/>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依申请公开</w:t>
            </w:r>
          </w:p>
        </w:tc>
        <w:tc>
          <w:tcPr>
            <w:tcW w:w="391" w:type="dxa"/>
            <w:tcBorders>
              <w:top w:val="single" w:color="000000" w:sz="8" w:space="0"/>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县级</w:t>
            </w:r>
          </w:p>
        </w:tc>
        <w:tc>
          <w:tcPr>
            <w:tcW w:w="498" w:type="dxa"/>
            <w:tcBorders>
              <w:top w:val="single" w:color="000000" w:sz="8" w:space="0"/>
              <w:left w:val="single" w:color="000000" w:sz="8" w:space="0"/>
              <w:bottom w:val="single" w:color="000000" w:sz="8" w:space="0"/>
              <w:right w:val="single" w:color="000000" w:sz="8" w:space="0"/>
            </w:tcBorders>
            <w:shd w:val="clear" w:color="auto" w:fill="auto"/>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4"/>
                <w:szCs w:val="24"/>
              </w:rPr>
              <w:t>乡、村级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2"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rPr>
              <w:t> </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许可</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出版物零售单位和个体工商户设立、变更审批</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办事指南：主要包括适用范围、受理机构、事项名称、设定依据、申请条件、办理材料、办理地点、办理时间、联系电话、办理流程、办理期限、申请行政许可需要提交的全部材料目录及办理情况、结果送达、收费依据及标准、监督投诉渠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行政许可决定。</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《中华人民共和国行政许可法》；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4.</w:t>
            </w:r>
            <w:r>
              <w:rPr>
                <w:rFonts w:hint="default" w:ascii="仿宋_GB2312" w:eastAsia="仿宋_GB2312" w:cs="仿宋_GB2312"/>
                <w:sz w:val="24"/>
                <w:szCs w:val="24"/>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5.</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default" w:ascii="Times New Roman" w:hAnsi="Times New Roman" w:eastAsia="仿宋_GB2312" w:cs="Times New Roman"/>
                <w:sz w:val="16"/>
                <w:szCs w:val="16"/>
                <w:shd w:val="clear" w:fill="FFFFFF"/>
              </w:rPr>
              <w:t>   </w:t>
            </w: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1"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Times New Roman" w:hAnsi="Times New Roman" w:eastAsia="仿宋_GB2312" w:cs="Times New Roman"/>
                <w:sz w:val="24"/>
                <w:szCs w:val="24"/>
              </w:rPr>
              <w:t>2</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对非法从事印刷经营活动的行政处罚</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处罚对象、案件名称、违法主要事实、处罚种类和内容、处罚依据、作出处罚决定部门、处罚时间、处罚结果、处罚决定书文号、处罚履行方式和期限等。</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《印刷业管理条例》；</w:t>
            </w:r>
            <w:r>
              <w:rPr>
                <w:rFonts w:hint="default" w:ascii="Times New Roman" w:hAnsi="Times New Roman" w:eastAsia="仿宋_GB2312" w:cs="Times New Roman"/>
                <w:sz w:val="24"/>
                <w:szCs w:val="24"/>
              </w:rPr>
              <w:t>2.</w:t>
            </w:r>
            <w:r>
              <w:rPr>
                <w:rFonts w:hint="default" w:ascii="仿宋_GB2312" w:eastAsia="仿宋_GB2312" w:cs="仿宋_GB2312"/>
                <w:sz w:val="24"/>
                <w:szCs w:val="24"/>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4.</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5.</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执法决定信息在决定作出之日起</w:t>
            </w:r>
            <w:r>
              <w:rPr>
                <w:rFonts w:hint="default" w:ascii="Times New Roman" w:hAnsi="Times New Roman" w:eastAsia="仿宋_GB2312" w:cs="Times New Roman"/>
                <w:sz w:val="24"/>
                <w:szCs w:val="24"/>
              </w:rPr>
              <w:t>7</w:t>
            </w:r>
            <w:r>
              <w:rPr>
                <w:rFonts w:hint="default" w:ascii="仿宋_GB2312" w:eastAsia="仿宋_GB2312" w:cs="仿宋_GB2312"/>
                <w:sz w:val="24"/>
                <w:szCs w:val="24"/>
              </w:rPr>
              <w:t>个工作日内公开，其他相关信息形成或变更之日起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82"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Times New Roman" w:hAnsi="Times New Roman" w:eastAsia="仿宋_GB2312" w:cs="Times New Roman"/>
                <w:sz w:val="24"/>
                <w:szCs w:val="24"/>
              </w:rPr>
              <w:t>3</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处罚</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对非法从事复制经营活动的行政处罚</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处罚对象、案件名称、违法主要事实、处罚种类和内容、处罚依据、作出处罚决定部门、处罚时间、处罚结果、处罚决定书文号、处罚履行方式和期限等。</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《复制管理办法》；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4.</w:t>
            </w:r>
            <w:r>
              <w:rPr>
                <w:rFonts w:hint="default" w:ascii="仿宋_GB2312" w:eastAsia="仿宋_GB2312" w:cs="仿宋_GB2312"/>
                <w:sz w:val="24"/>
                <w:szCs w:val="24"/>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5.</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6.</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执法决定信息在决定作出之日起</w:t>
            </w:r>
            <w:r>
              <w:rPr>
                <w:rFonts w:hint="default" w:ascii="Times New Roman" w:hAnsi="Times New Roman" w:eastAsia="仿宋_GB2312" w:cs="Times New Roman"/>
                <w:sz w:val="24"/>
                <w:szCs w:val="24"/>
              </w:rPr>
              <w:t>7</w:t>
            </w:r>
            <w:r>
              <w:rPr>
                <w:rFonts w:hint="default" w:ascii="仿宋_GB2312" w:eastAsia="仿宋_GB2312" w:cs="仿宋_GB2312"/>
                <w:sz w:val="24"/>
                <w:szCs w:val="24"/>
              </w:rPr>
              <w:t>个工作日内公开，其他相关信息形成或变更之日起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eastAsia="仿宋_GB2312" w:cs="Times New Roman"/>
                <w:sz w:val="16"/>
                <w:szCs w:val="16"/>
                <w:shd w:val="clear" w:fill="FFFFFF"/>
              </w:rPr>
              <w:t>   </w:t>
            </w: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40"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Times New Roman" w:hAnsi="Times New Roman" w:eastAsia="仿宋_GB2312" w:cs="Times New Roman"/>
                <w:sz w:val="24"/>
                <w:szCs w:val="24"/>
              </w:rPr>
              <w:t>4</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对非法编印内部资料性出版物行为的行政处罚</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处罚对象、案件名称、违法主要事实、处罚种类及内容、处罚依据、作出处罚决定部门、处罚时间、处罚结果、处罚决定书文号、处罚履行方式和期限等。</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4.</w:t>
            </w:r>
            <w:r>
              <w:rPr>
                <w:rFonts w:hint="default" w:ascii="仿宋_GB2312" w:eastAsia="仿宋_GB2312" w:cs="仿宋_GB2312"/>
                <w:sz w:val="24"/>
                <w:szCs w:val="24"/>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5.</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6.</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执法决定信息在决定作出之日起</w:t>
            </w:r>
            <w:r>
              <w:rPr>
                <w:rFonts w:hint="default" w:ascii="Times New Roman" w:hAnsi="Times New Roman" w:eastAsia="仿宋_GB2312" w:cs="Times New Roman"/>
                <w:sz w:val="24"/>
                <w:szCs w:val="24"/>
              </w:rPr>
              <w:t>7</w:t>
            </w:r>
            <w:r>
              <w:rPr>
                <w:rFonts w:hint="default" w:ascii="仿宋_GB2312" w:eastAsia="仿宋_GB2312" w:cs="仿宋_GB2312"/>
                <w:sz w:val="24"/>
                <w:szCs w:val="24"/>
              </w:rPr>
              <w:t>个工作日内公开，其他相关信息形成或变更之日起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82"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19"/>
                <w:szCs w:val="19"/>
              </w:rPr>
              <w:t> </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处罚</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对非法从事出版物发行活动的行政处罚</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处罚对象、案件名称、违法主要事实、处罚种类和内容、处罚依据、作出处罚决定部门、处罚时间、处罚结果、处罚决定书文号、处罚履行方式和期限等。</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《国务院关于促进市场公平竞争维护市场正常秩序的若干意见》；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4.</w:t>
            </w:r>
            <w:r>
              <w:rPr>
                <w:rFonts w:hint="default" w:ascii="仿宋_GB2312" w:eastAsia="仿宋_GB2312" w:cs="仿宋_GB2312"/>
                <w:sz w:val="24"/>
                <w:szCs w:val="24"/>
              </w:rPr>
              <w:t>《国务院办公厅关于全面推行行政执法公示制度执法全过程记录制度重大执法决定法制审核制度的指导意见》；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5.</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6.</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执法决定信息在决定作出之日起</w:t>
            </w:r>
            <w:r>
              <w:rPr>
                <w:rFonts w:hint="default" w:ascii="Times New Roman" w:hAnsi="Times New Roman" w:eastAsia="仿宋_GB2312" w:cs="Times New Roman"/>
                <w:sz w:val="24"/>
                <w:szCs w:val="24"/>
              </w:rPr>
              <w:t>7</w:t>
            </w:r>
            <w:r>
              <w:rPr>
                <w:rFonts w:hint="default" w:ascii="仿宋_GB2312" w:eastAsia="仿宋_GB2312" w:cs="仿宋_GB2312"/>
                <w:sz w:val="24"/>
                <w:szCs w:val="24"/>
              </w:rPr>
              <w:t>个工作日内公开，其他相关信息形成或变更之日起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Times New Roman" w:hAnsi="Times New Roman" w:eastAsia="仿宋_GB2312" w:cs="Times New Roman"/>
                <w:sz w:val="16"/>
                <w:szCs w:val="16"/>
                <w:shd w:val="clear" w:fill="FFFFFF"/>
              </w:rPr>
              <w:t>     </w:t>
            </w: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13"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rPr>
              <w:t>6</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处罚</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对损害公共利益的有关著作权侵权行为作出行政处罚</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处罚对象、案件名称、违法主要事实、处罚种类和内容、处罚依据、作出处罚决定部门、处罚时间、处罚结果、处罚决定书文号、处罚履行方式和期限等。</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w:t>
            </w:r>
            <w:r>
              <w:rPr>
                <w:rFonts w:hint="default" w:ascii="仿宋_GB2312" w:hAnsi="Times New Roman" w:eastAsia="仿宋_GB2312" w:cs="仿宋_GB2312"/>
                <w:sz w:val="24"/>
                <w:szCs w:val="24"/>
              </w:rPr>
              <w:t>中华人民共和国</w:t>
            </w:r>
            <w:r>
              <w:rPr>
                <w:rFonts w:hint="default" w:ascii="仿宋_GB2312" w:eastAsia="仿宋_GB2312" w:cs="仿宋_GB2312"/>
                <w:sz w:val="24"/>
                <w:szCs w:val="24"/>
              </w:rPr>
              <w:t>著作权法》；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w:t>
            </w:r>
            <w:r>
              <w:rPr>
                <w:rFonts w:hint="default" w:ascii="仿宋_GB2312" w:hAnsi="Times New Roman" w:eastAsia="仿宋_GB2312" w:cs="仿宋_GB2312"/>
                <w:sz w:val="24"/>
                <w:szCs w:val="24"/>
              </w:rPr>
              <w:t>中华人民共和国</w:t>
            </w:r>
            <w:r>
              <w:rPr>
                <w:rFonts w:hint="default" w:ascii="仿宋_GB2312" w:eastAsia="仿宋_GB2312" w:cs="仿宋_GB2312"/>
                <w:sz w:val="24"/>
                <w:szCs w:val="24"/>
              </w:rPr>
              <w:t>著作权法实施条例》；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《计算机软件保护条例》；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4.</w:t>
            </w:r>
            <w:r>
              <w:rPr>
                <w:rFonts w:hint="default" w:ascii="仿宋_GB2312" w:eastAsia="仿宋_GB2312" w:cs="仿宋_GB2312"/>
                <w:sz w:val="24"/>
                <w:szCs w:val="24"/>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5.</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6.</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执法决定信息在决定作出之日起</w:t>
            </w:r>
            <w:r>
              <w:rPr>
                <w:rFonts w:hint="default" w:ascii="Times New Roman" w:hAnsi="Times New Roman" w:eastAsia="仿宋_GB2312" w:cs="Times New Roman"/>
                <w:sz w:val="24"/>
                <w:szCs w:val="24"/>
              </w:rPr>
              <w:t>7</w:t>
            </w:r>
            <w:r>
              <w:rPr>
                <w:rFonts w:hint="default" w:ascii="仿宋_GB2312" w:eastAsia="仿宋_GB2312" w:cs="仿宋_GB2312"/>
                <w:sz w:val="24"/>
                <w:szCs w:val="24"/>
              </w:rPr>
              <w:t>个工作日内公开，其他相关信息形成或变更之日起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1" w:hRule="atLeast"/>
        </w:trPr>
        <w:tc>
          <w:tcPr>
            <w:tcW w:w="549" w:type="dxa"/>
            <w:tcBorders>
              <w:top w:val="nil"/>
              <w:left w:val="single" w:color="000000" w:sz="8" w:space="0"/>
              <w:bottom w:val="single" w:color="000000" w:sz="8"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4"/>
                <w:szCs w:val="24"/>
              </w:rPr>
              <w:t>7</w:t>
            </w:r>
          </w:p>
        </w:tc>
        <w:tc>
          <w:tcPr>
            <w:tcW w:w="67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仿宋_GB2312" w:eastAsia="仿宋_GB2312" w:cs="仿宋_GB2312"/>
                <w:sz w:val="24"/>
                <w:szCs w:val="24"/>
              </w:rPr>
              <w:t>处罚</w:t>
            </w:r>
          </w:p>
        </w:tc>
        <w:tc>
          <w:tcPr>
            <w:tcW w:w="95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对违反《信息网络传播权保护条例》的有关行为作出行政处罚</w:t>
            </w:r>
          </w:p>
        </w:tc>
        <w:tc>
          <w:tcPr>
            <w:tcW w:w="1503"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处罚对象、案件名称、违法主要事实、处罚种类和内容、处罚依据、作出处罚决定部门、处罚时间、处罚结果、处罚决定书文号、处罚履行方式和期限等。</w:t>
            </w:r>
          </w:p>
        </w:tc>
        <w:tc>
          <w:tcPr>
            <w:tcW w:w="2070"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1.</w:t>
            </w:r>
            <w:r>
              <w:rPr>
                <w:rFonts w:hint="default" w:ascii="仿宋_GB2312" w:eastAsia="仿宋_GB2312" w:cs="仿宋_GB2312"/>
                <w:sz w:val="24"/>
                <w:szCs w:val="24"/>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2.</w:t>
            </w:r>
            <w:r>
              <w:rPr>
                <w:rFonts w:hint="default" w:ascii="仿宋_GB2312" w:eastAsia="仿宋_GB2312" w:cs="仿宋_GB2312"/>
                <w:sz w:val="24"/>
                <w:szCs w:val="24"/>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仿宋_GB2312" w:cs="Times New Roman"/>
                <w:sz w:val="24"/>
                <w:szCs w:val="24"/>
              </w:rPr>
              <w:t>3.</w:t>
            </w:r>
            <w:r>
              <w:rPr>
                <w:rFonts w:hint="default" w:ascii="仿宋_GB2312" w:eastAsia="仿宋_GB2312" w:cs="仿宋_GB2312"/>
                <w:sz w:val="24"/>
                <w:szCs w:val="24"/>
              </w:rPr>
              <w:t>《关于全面推进政务公开工作的意见》</w:t>
            </w:r>
            <w:r>
              <w:rPr>
                <w:rFonts w:hint="default" w:ascii="仿宋_GB2312" w:hAnsi="Times New Roman" w:eastAsia="仿宋_GB2312" w:cs="仿宋_GB2312"/>
                <w:sz w:val="24"/>
                <w:szCs w:val="24"/>
              </w:rPr>
              <w:t>。</w:t>
            </w:r>
          </w:p>
        </w:tc>
        <w:tc>
          <w:tcPr>
            <w:tcW w:w="92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仿宋_GB2312" w:eastAsia="仿宋_GB2312" w:cs="仿宋_GB2312"/>
                <w:sz w:val="24"/>
                <w:szCs w:val="24"/>
              </w:rPr>
              <w:t>执法决定信息在决定作出之日起</w:t>
            </w:r>
            <w:r>
              <w:rPr>
                <w:rFonts w:hint="default" w:ascii="Times New Roman" w:hAnsi="Times New Roman" w:eastAsia="仿宋_GB2312" w:cs="Times New Roman"/>
                <w:sz w:val="24"/>
                <w:szCs w:val="24"/>
              </w:rPr>
              <w:t>7</w:t>
            </w:r>
            <w:r>
              <w:rPr>
                <w:rFonts w:hint="default" w:ascii="仿宋_GB2312" w:eastAsia="仿宋_GB2312" w:cs="仿宋_GB2312"/>
                <w:sz w:val="24"/>
                <w:szCs w:val="24"/>
              </w:rPr>
              <w:t>个工作日内公开，其他相关信息形成或变更之日起</w:t>
            </w:r>
            <w:r>
              <w:rPr>
                <w:rFonts w:hint="default" w:ascii="Times New Roman" w:hAnsi="Times New Roman" w:eastAsia="仿宋_GB2312" w:cs="Times New Roman"/>
                <w:sz w:val="24"/>
                <w:szCs w:val="24"/>
              </w:rPr>
              <w:t>20</w:t>
            </w:r>
            <w:r>
              <w:rPr>
                <w:rFonts w:hint="default" w:ascii="仿宋_GB2312" w:eastAsia="仿宋_GB2312" w:cs="仿宋_GB2312"/>
                <w:sz w:val="24"/>
                <w:szCs w:val="24"/>
              </w:rPr>
              <w:t>个工作日内公开</w:t>
            </w:r>
          </w:p>
        </w:tc>
        <w:tc>
          <w:tcPr>
            <w:tcW w:w="962"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4"/>
                <w:szCs w:val="24"/>
                <w:lang w:val="en-US" w:eastAsia="zh-CN"/>
              </w:rPr>
              <w:t>周村区</w:t>
            </w:r>
            <w:r>
              <w:rPr>
                <w:rFonts w:hint="default" w:ascii="仿宋_GB2312" w:eastAsia="仿宋_GB2312" w:cs="仿宋_GB2312"/>
                <w:sz w:val="24"/>
                <w:szCs w:val="24"/>
              </w:rPr>
              <w:t>文化和旅游局</w:t>
            </w:r>
          </w:p>
        </w:tc>
        <w:tc>
          <w:tcPr>
            <w:tcW w:w="1296" w:type="dxa"/>
            <w:tcBorders>
              <w:top w:val="nil"/>
              <w:left w:val="single" w:color="000000" w:sz="8" w:space="0"/>
              <w:bottom w:val="single" w:color="000000" w:sz="8" w:space="0"/>
              <w:right w:val="nil"/>
            </w:tcBorders>
            <w:shd w:val="clear" w:color="auto" w:fill="auto"/>
            <w:tcMar>
              <w:lef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r>
              <w:rPr>
                <w:rFonts w:hint="default" w:ascii="仿宋_GB2312" w:eastAsia="仿宋_GB2312" w:cs="仿宋_GB2312"/>
                <w:sz w:val="16"/>
                <w:szCs w:val="16"/>
                <w:shd w:val="clear" w:fill="FFFFFF"/>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24"/>
                <w:szCs w:val="24"/>
              </w:rPr>
            </w:pPr>
          </w:p>
        </w:tc>
        <w:tc>
          <w:tcPr>
            <w:tcW w:w="35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575"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79"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684"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　</w:t>
            </w:r>
          </w:p>
        </w:tc>
        <w:tc>
          <w:tcPr>
            <w:tcW w:w="391" w:type="dxa"/>
            <w:tcBorders>
              <w:top w:val="nil"/>
              <w:left w:val="single" w:color="000000" w:sz="8" w:space="0"/>
              <w:bottom w:val="single" w:color="000000" w:sz="8" w:space="0"/>
              <w:right w:val="nil"/>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24"/>
                <w:szCs w:val="24"/>
              </w:rPr>
              <w:t>√</w:t>
            </w:r>
          </w:p>
        </w:tc>
        <w:tc>
          <w:tcPr>
            <w:tcW w:w="498" w:type="dxa"/>
            <w:tcBorders>
              <w:top w:val="nil"/>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default" w:ascii="仿宋_GB2312" w:eastAsia="仿宋_GB2312" w:cs="仿宋_GB2312"/>
                <w:sz w:val="19"/>
                <w:szCs w:val="19"/>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C2EC0"/>
    <w:rsid w:val="1C3C2EC0"/>
    <w:rsid w:val="753A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2754</Words>
  <Characters>2975</Characters>
  <Lines>0</Lines>
  <Paragraphs>0</Paragraphs>
  <TotalTime>51</TotalTime>
  <ScaleCrop>false</ScaleCrop>
  <LinksUpToDate>false</LinksUpToDate>
  <CharactersWithSpaces>3234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2022-07-06T07:38:00Z</dcterms:created>
  <dc:creator>Lenovo-4</dc:creator>
  <cp:lastModifiedBy>李1368618536</cp:lastModifiedBy>
  <dcterms:modified xsi:type="dcterms:W3CDTF">2022-07-08T09:37:02Z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D07A120B79094D0EA6318552CACD2796</vt:lpwstr>
  </property>
</Properties>
</file>