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华文中宋"/>
          <w:w w:val="52"/>
          <w:sz w:val="80"/>
        </w:rPr>
      </w:pPr>
    </w:p>
    <w:p>
      <w:pPr>
        <w:spacing w:line="300" w:lineRule="exact"/>
        <w:rPr>
          <w:rFonts w:eastAsia="华文中宋"/>
          <w:sz w:val="32"/>
        </w:rPr>
      </w:pPr>
    </w:p>
    <w:p>
      <w:pPr>
        <w:spacing w:line="300" w:lineRule="exact"/>
        <w:rPr>
          <w:rFonts w:eastAsia="华文中宋"/>
          <w:sz w:val="32"/>
        </w:rPr>
      </w:pPr>
    </w:p>
    <w:p>
      <w:pPr>
        <w:spacing w:line="300" w:lineRule="exact"/>
        <w:rPr>
          <w:rFonts w:eastAsia="华文中宋"/>
          <w:sz w:val="32"/>
        </w:rPr>
      </w:pPr>
    </w:p>
    <w:p>
      <w:pPr>
        <w:spacing w:line="300" w:lineRule="exact"/>
        <w:rPr>
          <w:rFonts w:eastAsia="华文中宋"/>
          <w:sz w:val="32"/>
        </w:rPr>
      </w:pPr>
    </w:p>
    <w:p>
      <w:pPr>
        <w:spacing w:line="300" w:lineRule="exact"/>
        <w:rPr>
          <w:rFonts w:eastAsia="华文中宋"/>
          <w:sz w:val="32"/>
        </w:rPr>
      </w:pPr>
    </w:p>
    <w:p>
      <w:pPr>
        <w:spacing w:line="300" w:lineRule="exact"/>
        <w:rPr>
          <w:rFonts w:eastAsia="华文中宋"/>
          <w:sz w:val="32"/>
        </w:rPr>
      </w:pPr>
    </w:p>
    <w:p>
      <w:pPr>
        <w:spacing w:line="300" w:lineRule="exact"/>
        <w:rPr>
          <w:rFonts w:eastAsia="华文中宋"/>
          <w:sz w:val="32"/>
        </w:rPr>
      </w:pPr>
    </w:p>
    <w:p>
      <w:pPr>
        <w:spacing w:line="300" w:lineRule="exact"/>
        <w:rPr>
          <w:rFonts w:eastAsia="华文中宋"/>
          <w:sz w:val="32"/>
        </w:rPr>
      </w:pPr>
      <w:bookmarkStart w:id="0" w:name="_GoBack"/>
      <w:bookmarkEnd w:id="0"/>
    </w:p>
    <w:p>
      <w:pPr>
        <w:spacing w:line="560" w:lineRule="exact"/>
        <w:jc w:val="center"/>
        <w:rPr>
          <w:rFonts w:eastAsia="华文中宋"/>
          <w:sz w:val="44"/>
          <w:szCs w:val="36"/>
        </w:rPr>
      </w:pPr>
    </w:p>
    <w:p>
      <w:pPr>
        <w:spacing w:line="700" w:lineRule="exact"/>
        <w:jc w:val="center"/>
        <w:rPr>
          <w:rFonts w:eastAsia="方正小标宋简体"/>
          <w:bCs/>
          <w:sz w:val="44"/>
          <w:szCs w:val="44"/>
        </w:rPr>
      </w:pPr>
      <w:r>
        <w:rPr>
          <w:rFonts w:eastAsia="方正小标宋简体"/>
          <w:bCs/>
          <w:sz w:val="44"/>
          <w:szCs w:val="44"/>
        </w:rPr>
        <w:t>周村区人民政府</w:t>
      </w:r>
    </w:p>
    <w:p>
      <w:pPr>
        <w:spacing w:line="700" w:lineRule="exact"/>
        <w:jc w:val="center"/>
        <w:rPr>
          <w:rFonts w:eastAsia="方正小标宋简体"/>
          <w:color w:val="000000"/>
          <w:sz w:val="44"/>
          <w:szCs w:val="44"/>
        </w:rPr>
      </w:pPr>
      <w:r>
        <w:rPr>
          <w:rFonts w:eastAsia="方正小标宋简体"/>
          <w:color w:val="000000"/>
          <w:sz w:val="44"/>
          <w:szCs w:val="44"/>
        </w:rPr>
        <w:t>关于印发周村区2019年国民经济和</w:t>
      </w:r>
    </w:p>
    <w:p>
      <w:pPr>
        <w:spacing w:line="700" w:lineRule="exact"/>
        <w:jc w:val="center"/>
        <w:rPr>
          <w:rFonts w:eastAsia="方正小标宋简体"/>
          <w:sz w:val="44"/>
          <w:szCs w:val="44"/>
        </w:rPr>
      </w:pPr>
      <w:r>
        <w:rPr>
          <w:rFonts w:eastAsia="方正小标宋简体"/>
          <w:color w:val="000000"/>
          <w:sz w:val="44"/>
          <w:szCs w:val="44"/>
        </w:rPr>
        <w:t>社会发展计划的通知</w:t>
      </w:r>
    </w:p>
    <w:p>
      <w:pPr>
        <w:spacing w:line="600" w:lineRule="exact"/>
        <w:jc w:val="center"/>
        <w:rPr>
          <w:rFonts w:eastAsia="仿宋_GB2312"/>
          <w:color w:val="000000"/>
          <w:sz w:val="32"/>
        </w:rPr>
      </w:pPr>
      <w:r>
        <w:rPr>
          <w:rFonts w:eastAsia="仿宋_GB2312"/>
          <w:color w:val="000000"/>
          <w:sz w:val="32"/>
        </w:rPr>
        <w:t>周政发〔2019〕1号</w:t>
      </w:r>
    </w:p>
    <w:p>
      <w:pPr>
        <w:spacing w:line="580" w:lineRule="exact"/>
        <w:ind w:firstLine="640" w:firstLineChars="200"/>
        <w:rPr>
          <w:rFonts w:eastAsia="仿宋_GB2312"/>
          <w:bCs/>
          <w:kern w:val="0"/>
          <w:sz w:val="32"/>
          <w:szCs w:val="32"/>
        </w:rPr>
      </w:pPr>
    </w:p>
    <w:p>
      <w:pPr>
        <w:spacing w:line="580" w:lineRule="exact"/>
        <w:rPr>
          <w:rFonts w:eastAsia="仿宋_GB2312"/>
          <w:color w:val="000000"/>
          <w:sz w:val="32"/>
          <w:szCs w:val="32"/>
        </w:rPr>
      </w:pPr>
      <w:r>
        <w:rPr>
          <w:rFonts w:eastAsia="仿宋_GB2312"/>
          <w:color w:val="000000"/>
          <w:sz w:val="32"/>
          <w:szCs w:val="32"/>
        </w:rPr>
        <w:t>各镇政府、街道办事处，周村经济开发区管委会，区政府各部门，有关单位：</w:t>
      </w:r>
    </w:p>
    <w:p>
      <w:pPr>
        <w:shd w:val="clear" w:color="auto" w:fill="FFFFFF"/>
        <w:adjustRightInd w:val="0"/>
        <w:snapToGrid w:val="0"/>
        <w:spacing w:line="580" w:lineRule="exact"/>
        <w:ind w:firstLine="640" w:firstLineChars="200"/>
        <w:rPr>
          <w:rFonts w:eastAsia="仿宋_GB2312"/>
          <w:color w:val="000000"/>
          <w:kern w:val="0"/>
          <w:sz w:val="32"/>
          <w:szCs w:val="32"/>
        </w:rPr>
      </w:pPr>
      <w:r>
        <w:rPr>
          <w:rFonts w:eastAsia="仿宋_GB2312"/>
          <w:color w:val="000000"/>
          <w:sz w:val="32"/>
          <w:szCs w:val="32"/>
        </w:rPr>
        <w:t>《周村区2019年国民经济和社会发展计划》已经区第十八届人民政府第40次常务会议研究通过，现印发给你们，请认真组织实施。</w:t>
      </w:r>
    </w:p>
    <w:p>
      <w:pPr>
        <w:spacing w:line="580" w:lineRule="exact"/>
        <w:ind w:firstLine="640" w:firstLineChars="200"/>
        <w:rPr>
          <w:rFonts w:eastAsia="仿宋_GB2312"/>
          <w:sz w:val="32"/>
          <w:szCs w:val="32"/>
        </w:rPr>
      </w:pPr>
    </w:p>
    <w:p>
      <w:pPr>
        <w:spacing w:line="580" w:lineRule="exact"/>
        <w:rPr>
          <w:rFonts w:eastAsia="仿宋_GB2312"/>
          <w:sz w:val="32"/>
          <w:szCs w:val="32"/>
        </w:rPr>
      </w:pPr>
    </w:p>
    <w:p>
      <w:pPr>
        <w:tabs>
          <w:tab w:val="left" w:pos="6825"/>
        </w:tabs>
        <w:spacing w:line="580" w:lineRule="exact"/>
        <w:ind w:right="1564" w:rightChars="745" w:firstLine="640" w:firstLineChars="200"/>
        <w:jc w:val="right"/>
        <w:rPr>
          <w:rFonts w:eastAsia="仿宋_GB2312"/>
          <w:kern w:val="0"/>
          <w:sz w:val="32"/>
          <w:szCs w:val="32"/>
        </w:rPr>
      </w:pPr>
      <w:r>
        <w:rPr>
          <w:rFonts w:eastAsia="仿宋_GB2312"/>
          <w:kern w:val="0"/>
          <w:sz w:val="32"/>
          <w:szCs w:val="32"/>
        </w:rPr>
        <w:t>周村区人民政府</w:t>
      </w:r>
    </w:p>
    <w:p>
      <w:pPr>
        <w:tabs>
          <w:tab w:val="left" w:pos="7825"/>
          <w:tab w:val="left" w:pos="7980"/>
          <w:tab w:val="left" w:pos="8085"/>
        </w:tabs>
        <w:spacing w:line="580" w:lineRule="exact"/>
        <w:ind w:right="1411" w:rightChars="672" w:firstLine="640" w:firstLineChars="200"/>
        <w:jc w:val="right"/>
        <w:rPr>
          <w:rFonts w:eastAsia="仿宋_GB2312"/>
          <w:sz w:val="32"/>
          <w:szCs w:val="32"/>
        </w:rPr>
      </w:pPr>
      <w:r>
        <w:rPr>
          <w:rFonts w:eastAsia="仿宋_GB2312"/>
          <w:sz w:val="32"/>
          <w:szCs w:val="32"/>
        </w:rPr>
        <w:t>2019年5月24日</w:t>
      </w:r>
    </w:p>
    <w:p>
      <w:pPr>
        <w:spacing w:line="700" w:lineRule="exact"/>
        <w:jc w:val="center"/>
        <w:rPr>
          <w:rFonts w:eastAsia="仿宋_GB2312"/>
          <w:sz w:val="32"/>
          <w:szCs w:val="32"/>
        </w:rPr>
      </w:pPr>
    </w:p>
    <w:p>
      <w:pPr>
        <w:spacing w:line="700" w:lineRule="exact"/>
        <w:jc w:val="center"/>
        <w:rPr>
          <w:rFonts w:eastAsia="方正小标宋简体"/>
          <w:color w:val="000000"/>
          <w:sz w:val="36"/>
          <w:szCs w:val="36"/>
        </w:rPr>
      </w:pPr>
      <w:r>
        <w:rPr>
          <w:rFonts w:eastAsia="方正小标宋简体"/>
          <w:color w:val="000000"/>
          <w:sz w:val="44"/>
          <w:szCs w:val="44"/>
        </w:rPr>
        <w:t>周村区2019年国民经济和社会发展计划</w:t>
      </w:r>
    </w:p>
    <w:p>
      <w:pPr>
        <w:spacing w:line="580" w:lineRule="exact"/>
        <w:ind w:firstLine="640" w:firstLineChars="200"/>
        <w:rPr>
          <w:rFonts w:eastAsia="楷体_GB2312"/>
          <w:sz w:val="32"/>
          <w:szCs w:val="32"/>
        </w:rPr>
      </w:pPr>
    </w:p>
    <w:p>
      <w:pPr>
        <w:spacing w:line="580" w:lineRule="exact"/>
        <w:ind w:firstLine="640" w:firstLineChars="200"/>
        <w:rPr>
          <w:rFonts w:eastAsia="黑体"/>
          <w:sz w:val="32"/>
          <w:szCs w:val="32"/>
        </w:rPr>
      </w:pPr>
      <w:r>
        <w:rPr>
          <w:rFonts w:eastAsia="黑体"/>
          <w:sz w:val="32"/>
          <w:szCs w:val="32"/>
        </w:rPr>
        <w:t>一、2019年经济社会发展的总体要求和预期目标</w:t>
      </w:r>
    </w:p>
    <w:p>
      <w:pPr>
        <w:spacing w:line="580" w:lineRule="exact"/>
        <w:ind w:firstLine="640" w:firstLineChars="200"/>
        <w:rPr>
          <w:rFonts w:eastAsia="仿宋_GB2312"/>
          <w:kern w:val="0"/>
          <w:sz w:val="32"/>
          <w:szCs w:val="32"/>
        </w:rPr>
      </w:pPr>
      <w:r>
        <w:rPr>
          <w:rFonts w:eastAsia="仿宋_GB2312"/>
          <w:kern w:val="0"/>
          <w:sz w:val="32"/>
          <w:szCs w:val="32"/>
        </w:rPr>
        <w:t>做好2019年的工作，要全面坚持以习近平新时代中国特色社会主义思想为指导，深入学习贯彻落实党的十九大和十九届二中、三中全会以及习近平总书记视察山东重要讲话、重要指示批示精神，坚持稳中求进工作总基调和“六个稳”的总要求，坚持新发展理念，推动高质量发展，紧紧围绕实施工业强区、生态立区、商贸文旅兴区战略，全面加快新旧动能转换，集中打好“五场硬仗”，稳扎稳打、善作善成，确保全区经济运行继续保持在合理区间。</w:t>
      </w:r>
    </w:p>
    <w:p>
      <w:pPr>
        <w:spacing w:line="580" w:lineRule="exact"/>
        <w:ind w:firstLine="640" w:firstLineChars="200"/>
        <w:rPr>
          <w:rFonts w:eastAsia="仿宋_GB2312"/>
          <w:sz w:val="32"/>
          <w:szCs w:val="32"/>
        </w:rPr>
      </w:pPr>
      <w:r>
        <w:rPr>
          <w:rFonts w:eastAsia="仿宋_GB2312"/>
          <w:sz w:val="32"/>
          <w:szCs w:val="32"/>
        </w:rPr>
        <w:t>全区2019年经济社会发展的主要预期目标为：地区生产总值增长6.5%左右，一般公共预算收入增长5%左右，固定资产投资增长6%左右，社会消费品零售总额增长8.5%左右，城镇居民和农村居民人均可支配收入分别增长7%左右、7%以上，城镇登记失业率控制在4%以内，全面完成市下达的节能减排约束性目标任务。</w:t>
      </w:r>
    </w:p>
    <w:p>
      <w:pPr>
        <w:spacing w:line="580" w:lineRule="exact"/>
        <w:ind w:firstLine="640" w:firstLineChars="200"/>
        <w:rPr>
          <w:rFonts w:eastAsia="黑体"/>
          <w:sz w:val="32"/>
          <w:szCs w:val="32"/>
        </w:rPr>
      </w:pPr>
      <w:r>
        <w:rPr>
          <w:rFonts w:eastAsia="黑体"/>
          <w:sz w:val="32"/>
          <w:szCs w:val="32"/>
        </w:rPr>
        <w:t>二、2019年经济社会发展重点工作任务</w:t>
      </w:r>
    </w:p>
    <w:p>
      <w:pPr>
        <w:pStyle w:val="66"/>
        <w:snapToGrid w:val="0"/>
        <w:spacing w:line="580" w:lineRule="exact"/>
        <w:ind w:firstLine="640" w:firstLineChars="200"/>
        <w:rPr>
          <w:rFonts w:eastAsia="仿宋_GB2312"/>
          <w:bCs/>
          <w:sz w:val="32"/>
          <w:szCs w:val="32"/>
        </w:rPr>
      </w:pPr>
      <w:r>
        <w:rPr>
          <w:rFonts w:hAnsi="楷体_GB2312" w:eastAsia="楷体_GB2312"/>
          <w:bCs/>
          <w:sz w:val="32"/>
          <w:szCs w:val="32"/>
        </w:rPr>
        <w:t>（一）加快实施区新旧动能转换重大工程。</w:t>
      </w:r>
      <w:r>
        <w:rPr>
          <w:rFonts w:eastAsia="仿宋_GB2312"/>
          <w:bCs/>
          <w:sz w:val="32"/>
          <w:szCs w:val="32"/>
        </w:rPr>
        <w:t>全面实施区新旧动能转换重大工程实施规划、实施意见。开展“工业创新发展突破年”活动，推动67家</w:t>
      </w:r>
      <w:r>
        <w:rPr>
          <w:rFonts w:eastAsia="仿宋_GB2312"/>
          <w:bCs/>
          <w:sz w:val="32"/>
          <w:szCs w:val="32"/>
          <w:lang w:val="zh-CN"/>
        </w:rPr>
        <w:t>规上企业</w:t>
      </w:r>
      <w:r>
        <w:rPr>
          <w:rFonts w:eastAsia="仿宋_GB2312"/>
          <w:bCs/>
          <w:sz w:val="32"/>
          <w:szCs w:val="32"/>
        </w:rPr>
        <w:t>完成高端化、智能化、绿色化</w:t>
      </w:r>
      <w:r>
        <w:rPr>
          <w:rFonts w:eastAsia="仿宋_GB2312"/>
          <w:bCs/>
          <w:sz w:val="32"/>
          <w:szCs w:val="32"/>
          <w:lang w:val="zh-CN"/>
        </w:rPr>
        <w:t>技术改造，</w:t>
      </w:r>
      <w:r>
        <w:rPr>
          <w:rFonts w:eastAsia="仿宋_GB2312"/>
          <w:bCs/>
          <w:sz w:val="32"/>
          <w:szCs w:val="32"/>
        </w:rPr>
        <w:t>工业技改投资增长8%以上。积极推动装备制造和高温新材料产业建设智能工厂/数字化车间。依托齐鲁华信高科、华安新材料、赫达、金堆城钼业等企业，加快化工新材料和新型功能材料产业高端产品的研究开发。</w:t>
      </w:r>
      <w:r>
        <w:rPr>
          <w:rFonts w:eastAsia="仿宋_GB2312"/>
          <w:bCs/>
          <w:kern w:val="0"/>
          <w:sz w:val="32"/>
          <w:szCs w:val="32"/>
        </w:rPr>
        <w:t>推进古商城5A级景区创建工作。</w:t>
      </w:r>
      <w:r>
        <w:rPr>
          <w:rFonts w:eastAsia="仿宋_GB2312"/>
          <w:bCs/>
          <w:sz w:val="32"/>
          <w:szCs w:val="32"/>
        </w:rPr>
        <w:t>加快方达电商二期、海尔家居产业园等一批重点项目建设。</w:t>
      </w:r>
    </w:p>
    <w:p>
      <w:pPr>
        <w:pStyle w:val="66"/>
        <w:snapToGrid w:val="0"/>
        <w:spacing w:line="580" w:lineRule="exact"/>
        <w:ind w:firstLine="640" w:firstLineChars="200"/>
        <w:rPr>
          <w:rFonts w:eastAsia="仿宋_GB2312"/>
          <w:bCs/>
          <w:sz w:val="32"/>
          <w:szCs w:val="32"/>
        </w:rPr>
      </w:pPr>
      <w:r>
        <w:rPr>
          <w:rFonts w:hAnsi="楷体_GB2312" w:eastAsia="楷体_GB2312"/>
          <w:bCs/>
          <w:sz w:val="32"/>
          <w:szCs w:val="32"/>
        </w:rPr>
        <w:t>（二）强化重大项目建设。</w:t>
      </w:r>
      <w:r>
        <w:rPr>
          <w:rFonts w:eastAsia="仿宋_GB2312"/>
          <w:bCs/>
          <w:sz w:val="32"/>
          <w:szCs w:val="32"/>
        </w:rPr>
        <w:t>组织开展“项目建设突破年”活动，全力突破项目策划、前期推进、要素保障、项目开工、环境优化等关键环节。强化项目策划储备，全年市重大项目总数25个以上，5个左右项目列入省第二批优质项目库。强化用地保障，加大对上争取和挖潜，建立数据库分类管理。充分发挥市人行和市金融顾问团“周村行”调研合作支持作用，促进扩大信贷投放。加快园区基础设施建设，加快标准厂房建设并投用。推动宏信、大染坊、飞狮等重点企业集聚入园，推进智慧厨电创新产业园二期建设。</w:t>
      </w:r>
    </w:p>
    <w:p>
      <w:pPr>
        <w:pStyle w:val="66"/>
        <w:snapToGrid w:val="0"/>
        <w:spacing w:line="580" w:lineRule="exact"/>
        <w:ind w:firstLine="640" w:firstLineChars="200"/>
        <w:rPr>
          <w:rFonts w:eastAsia="仿宋_GB2312"/>
          <w:bCs/>
          <w:sz w:val="32"/>
          <w:szCs w:val="32"/>
        </w:rPr>
      </w:pPr>
      <w:r>
        <w:rPr>
          <w:rFonts w:hAnsi="楷体_GB2312" w:eastAsia="楷体_GB2312"/>
          <w:bCs/>
          <w:sz w:val="32"/>
          <w:szCs w:val="32"/>
        </w:rPr>
        <w:t>（三）全力推进</w:t>
      </w:r>
      <w:r>
        <w:rPr>
          <w:rFonts w:eastAsia="楷体_GB2312"/>
          <w:bCs/>
          <w:sz w:val="32"/>
          <w:szCs w:val="32"/>
        </w:rPr>
        <w:t>“</w:t>
      </w:r>
      <w:r>
        <w:rPr>
          <w:rFonts w:hAnsi="楷体_GB2312" w:eastAsia="楷体_GB2312"/>
          <w:bCs/>
          <w:sz w:val="32"/>
          <w:szCs w:val="32"/>
        </w:rPr>
        <w:t>双招双引</w:t>
      </w:r>
      <w:r>
        <w:rPr>
          <w:rFonts w:eastAsia="楷体_GB2312"/>
          <w:bCs/>
          <w:sz w:val="32"/>
          <w:szCs w:val="32"/>
        </w:rPr>
        <w:t>”</w:t>
      </w:r>
      <w:r>
        <w:rPr>
          <w:rFonts w:hAnsi="楷体_GB2312" w:eastAsia="楷体_GB2312"/>
          <w:bCs/>
          <w:sz w:val="32"/>
          <w:szCs w:val="32"/>
        </w:rPr>
        <w:t>。</w:t>
      </w:r>
      <w:r>
        <w:rPr>
          <w:rFonts w:eastAsia="仿宋_GB2312"/>
          <w:sz w:val="32"/>
          <w:szCs w:val="32"/>
          <w:shd w:val="clear" w:color="auto" w:fill="FFFFFF"/>
        </w:rPr>
        <w:t>突出构建系统化、标准化“双招双引”和打造“绿色智能”产业集群，组建6个重点产业招商专班，</w:t>
      </w:r>
      <w:r>
        <w:rPr>
          <w:rFonts w:eastAsia="仿宋_GB2312"/>
          <w:sz w:val="32"/>
          <w:szCs w:val="32"/>
        </w:rPr>
        <w:t>建立招商目标客户库，全力招引行业领军企业和隐形冠军企业，积极引进高质量重大产业项目和补链强链项目。量身制定园区专业化招商方案，依托西铁城、威尔斯通、新景等龙头企业，</w:t>
      </w:r>
      <w:r>
        <w:rPr>
          <w:rFonts w:eastAsia="仿宋_GB2312"/>
          <w:sz w:val="32"/>
          <w:szCs w:val="32"/>
          <w:shd w:val="clear" w:color="auto" w:fill="FFFFFF"/>
        </w:rPr>
        <w:t>力争全年新引进重大产业项目25个，</w:t>
      </w:r>
      <w:r>
        <w:rPr>
          <w:rFonts w:eastAsia="仿宋_GB2312"/>
          <w:sz w:val="32"/>
          <w:szCs w:val="32"/>
        </w:rPr>
        <w:t>实际到位外来投资总量突破72.6亿元</w:t>
      </w:r>
      <w:r>
        <w:rPr>
          <w:rFonts w:eastAsia="仿宋_GB2312"/>
          <w:sz w:val="32"/>
          <w:szCs w:val="32"/>
          <w:shd w:val="clear" w:color="auto" w:fill="FFFFFF"/>
        </w:rPr>
        <w:t>。</w:t>
      </w:r>
      <w:r>
        <w:rPr>
          <w:rFonts w:eastAsia="仿宋_GB2312"/>
          <w:sz w:val="32"/>
          <w:szCs w:val="32"/>
        </w:rPr>
        <w:t>高标准落实市人才新政23条、区人才新政12条，深入开展“院士专家周村行”活动，引进转化一批高新技术成果。</w:t>
      </w:r>
    </w:p>
    <w:p>
      <w:pPr>
        <w:spacing w:line="580" w:lineRule="exact"/>
        <w:ind w:firstLine="640" w:firstLineChars="200"/>
        <w:rPr>
          <w:rFonts w:eastAsia="仿宋_GB2312"/>
          <w:bCs/>
          <w:sz w:val="32"/>
          <w:szCs w:val="32"/>
        </w:rPr>
      </w:pPr>
      <w:r>
        <w:rPr>
          <w:rFonts w:hAnsi="楷体_GB2312" w:eastAsia="楷体_GB2312"/>
          <w:bCs/>
          <w:sz w:val="32"/>
          <w:szCs w:val="32"/>
        </w:rPr>
        <w:t>（四）加强经济运行监测分析。</w:t>
      </w:r>
      <w:r>
        <w:rPr>
          <w:rFonts w:eastAsia="仿宋_GB2312"/>
          <w:bCs/>
          <w:sz w:val="32"/>
          <w:szCs w:val="32"/>
        </w:rPr>
        <w:t>及时掌握经济运行发展动态，促进企业精细化管理。开展“优化金融环境提升年”活动，健全完善政银企多样化对接机制。加快启动齐鲁华信上市工作，推动鲁铭高温等15家以上优质企业在“新三板”和齐鲁股交中心挂牌融资</w:t>
      </w:r>
      <w:r>
        <w:rPr>
          <w:bCs/>
          <w:sz w:val="32"/>
          <w:szCs w:val="32"/>
        </w:rPr>
        <w:t>。</w:t>
      </w:r>
      <w:r>
        <w:rPr>
          <w:rFonts w:eastAsia="仿宋_GB2312"/>
          <w:bCs/>
          <w:sz w:val="32"/>
          <w:szCs w:val="32"/>
        </w:rPr>
        <w:t>坚持底线思维，积极防范化解重大风险，稳妥高效运作政府转贷应急资金，进一步降低不良贷款额和不良贷款率，牢牢守住不发生区域性、系统性金融风险底线。</w:t>
      </w:r>
    </w:p>
    <w:p>
      <w:pPr>
        <w:spacing w:line="580" w:lineRule="exact"/>
        <w:ind w:firstLine="640" w:firstLineChars="200"/>
        <w:rPr>
          <w:rFonts w:eastAsia="仿宋_GB2312"/>
          <w:bCs/>
          <w:sz w:val="32"/>
          <w:szCs w:val="32"/>
        </w:rPr>
      </w:pPr>
      <w:r>
        <w:rPr>
          <w:rFonts w:hAnsi="楷体_GB2312" w:eastAsia="楷体_GB2312"/>
          <w:bCs/>
          <w:sz w:val="32"/>
          <w:szCs w:val="32"/>
        </w:rPr>
        <w:t>（五）加快城乡建设和社会事业发展。</w:t>
      </w:r>
      <w:r>
        <w:rPr>
          <w:rFonts w:eastAsia="仿宋_GB2312"/>
          <w:bCs/>
          <w:snapToGrid w:val="0"/>
          <w:kern w:val="0"/>
          <w:sz w:val="32"/>
          <w:szCs w:val="32"/>
        </w:rPr>
        <w:t>认真做好区政府为民办实事项目。科学编制城市规划，配合做好全市“多规合一”编制工作。</w:t>
      </w:r>
      <w:r>
        <w:rPr>
          <w:rFonts w:eastAsia="仿宋_GB2312"/>
          <w:bCs/>
          <w:sz w:val="32"/>
          <w:szCs w:val="32"/>
        </w:rPr>
        <w:t>国道</w:t>
      </w:r>
      <w:r>
        <w:rPr>
          <w:rFonts w:eastAsia="仿宋_GB2312"/>
          <w:bCs/>
          <w:snapToGrid w:val="0"/>
          <w:kern w:val="0"/>
          <w:sz w:val="32"/>
          <w:szCs w:val="32"/>
        </w:rPr>
        <w:t>309改建工程实现全线通车。推进棚户区改造工程。巩固“五长制”管理成果。</w:t>
      </w:r>
      <w:r>
        <w:rPr>
          <w:rFonts w:eastAsia="仿宋_GB2312"/>
          <w:bCs/>
          <w:sz w:val="32"/>
        </w:rPr>
        <w:t>做好周村“文化云”平台运营和管理工作，文化云平台覆盖到区镇村三级。广开就业渠道，</w:t>
      </w:r>
      <w:r>
        <w:rPr>
          <w:rFonts w:eastAsia="仿宋_GB2312"/>
          <w:bCs/>
          <w:sz w:val="32"/>
          <w:szCs w:val="32"/>
        </w:rPr>
        <w:t>加强重点群体就业，促进创业带动就业。</w:t>
      </w:r>
      <w:r>
        <w:rPr>
          <w:rFonts w:eastAsia="仿宋_GB2312"/>
          <w:bCs/>
          <w:sz w:val="32"/>
          <w:szCs w:val="32"/>
          <w:shd w:val="clear" w:color="auto" w:fill="FFFFFF"/>
        </w:rPr>
        <w:t>加强医疗救助与基本医疗保险、大病保险、医疗商业补充保险等制度的衔接，完善推进“一站式”即时结算。</w:t>
      </w:r>
      <w:r>
        <w:rPr>
          <w:rFonts w:eastAsia="仿宋_GB2312"/>
          <w:bCs/>
          <w:sz w:val="32"/>
          <w:szCs w:val="32"/>
        </w:rPr>
        <w:t>统筹推进安全生产领域改革发展、城市安全发展和应急管理体制机制改革，提升安全发展水平。</w:t>
      </w:r>
    </w:p>
    <w:p>
      <w:pPr>
        <w:spacing w:line="580" w:lineRule="exact"/>
        <w:ind w:firstLine="640" w:firstLineChars="200"/>
        <w:rPr>
          <w:rFonts w:eastAsia="仿宋_GB2312"/>
          <w:bCs/>
          <w:sz w:val="32"/>
          <w:szCs w:val="32"/>
        </w:rPr>
      </w:pPr>
      <w:r>
        <w:rPr>
          <w:rFonts w:hAnsi="楷体_GB2312" w:eastAsia="楷体_GB2312"/>
          <w:bCs/>
          <w:sz w:val="32"/>
          <w:szCs w:val="32"/>
        </w:rPr>
        <w:t>（六）大力实施乡村振兴战略。</w:t>
      </w:r>
      <w:r>
        <w:rPr>
          <w:rFonts w:eastAsia="仿宋_GB2312"/>
          <w:bCs/>
          <w:sz w:val="32"/>
          <w:szCs w:val="32"/>
        </w:rPr>
        <w:t>实施乡村振兴战略规划和“五个振兴”工作方案，实施</w:t>
      </w:r>
      <w:r>
        <w:rPr>
          <w:rFonts w:eastAsia="仿宋_GB2312"/>
          <w:sz w:val="32"/>
          <w:szCs w:val="32"/>
        </w:rPr>
        <w:t>“树样板、创示范、全整治”工程</w:t>
      </w:r>
      <w:r>
        <w:rPr>
          <w:rFonts w:eastAsia="仿宋_GB2312"/>
          <w:bCs/>
          <w:sz w:val="32"/>
          <w:szCs w:val="32"/>
        </w:rPr>
        <w:t>，开展人居环境整治行动。加强凤凰山田园综合体、广晟玫瑰风情园等一批重点项目建设。加大精准扶贫力度，确保实现扶贫项目对贫困人口全覆盖，全区15个省重点贫困村80%以上达到美丽乡村A类标准。加强水利基础设施建设，重点抓好小型水库除险加固、东部排洪沟清淤改造等工程。</w:t>
      </w:r>
    </w:p>
    <w:p>
      <w:pPr>
        <w:spacing w:line="580" w:lineRule="exact"/>
        <w:ind w:firstLine="640" w:firstLineChars="200"/>
        <w:rPr>
          <w:rFonts w:eastAsia="仿宋_GB2312"/>
          <w:bCs/>
          <w:sz w:val="32"/>
          <w:szCs w:val="32"/>
        </w:rPr>
      </w:pPr>
      <w:r>
        <w:rPr>
          <w:rFonts w:hAnsi="楷体_GB2312" w:eastAsia="楷体_GB2312"/>
          <w:bCs/>
          <w:sz w:val="32"/>
          <w:szCs w:val="32"/>
        </w:rPr>
        <w:t>（七）打好污染防治攻坚战。</w:t>
      </w:r>
      <w:r>
        <w:rPr>
          <w:rFonts w:eastAsia="仿宋_GB2312"/>
          <w:bCs/>
          <w:sz w:val="32"/>
          <w:szCs w:val="32"/>
        </w:rPr>
        <w:t>深入推进“四减四增”三年行动，对耐材、火电、铸造等重点行业及燃煤锅炉无组织排放开展专项整治，对化工、工业涂装、包装印刷等挥发性有机物排放重点行业和油品储运销进行综合整治，对火电、耐材、建材等行业企业实行煤场、料场、渣场全封闭。加强工业、农业、生活污染源和水生态系统整治，消除城市黑臭水体，河流出境水质稳定达到地表水Ⅳ类水质要求。建立污染地块清单，强化土壤污染管控和修复。有序推进全国第二次污染源普查工作。抓好危废、固废及辐射监管，推进网格化监管体系建设。</w:t>
      </w:r>
    </w:p>
    <w:p>
      <w:pPr>
        <w:pStyle w:val="65"/>
        <w:spacing w:line="580" w:lineRule="exact"/>
        <w:ind w:firstLine="640" w:firstLineChars="200"/>
        <w:rPr>
          <w:rFonts w:cs="Times New Roman"/>
          <w:bCs/>
          <w:sz w:val="32"/>
          <w:szCs w:val="32"/>
        </w:rPr>
      </w:pPr>
      <w:r>
        <w:rPr>
          <w:rFonts w:hAnsi="楷体_GB2312" w:eastAsia="楷体_GB2312" w:cs="Times New Roman"/>
          <w:bCs/>
          <w:sz w:val="32"/>
          <w:szCs w:val="32"/>
        </w:rPr>
        <w:t>（八）持续推进深化改革。</w:t>
      </w:r>
      <w:r>
        <w:rPr>
          <w:rFonts w:cs="Times New Roman"/>
          <w:bCs/>
          <w:sz w:val="32"/>
          <w:szCs w:val="32"/>
        </w:rPr>
        <w:t>加强制度建设，持续加强“放管服”改革创新，年内基本实现“一门式、一窗式、一网式”办理，网上“不见面审批”达到全部审批事项的85%以上。深化新旧动能转换、金融及投融资体制机制系列改革。全面落实商事制度改革，推进电子营业执照统一验证管理，简化企业和个体工商户注销流程。加强信用体系建设，加大联合激励和联合惩戒力度。深化医疗卫生体制改革。深化农村集体资产股份制改革，加强农村资产、资源管理，增加集体收入。</w:t>
      </w:r>
    </w:p>
    <w:p>
      <w:pPr>
        <w:spacing w:line="580" w:lineRule="exact"/>
        <w:ind w:firstLine="720" w:firstLineChars="200"/>
        <w:rPr>
          <w:rFonts w:eastAsia="方正小标宋简体"/>
          <w:bCs/>
          <w:kern w:val="0"/>
          <w:sz w:val="36"/>
          <w:szCs w:val="36"/>
        </w:rPr>
      </w:pPr>
    </w:p>
    <w:p>
      <w:pPr>
        <w:spacing w:line="580" w:lineRule="exact"/>
        <w:ind w:firstLine="640" w:firstLineChars="200"/>
        <w:rPr>
          <w:rFonts w:eastAsia="仿宋_GB2312"/>
          <w:sz w:val="32"/>
          <w:szCs w:val="32"/>
        </w:rPr>
      </w:pPr>
      <w:r>
        <w:rPr>
          <w:rFonts w:eastAsia="仿宋_GB2312"/>
          <w:bCs/>
          <w:sz w:val="32"/>
          <w:szCs w:val="32"/>
        </w:rPr>
        <w:t>附件：周村区2019年国民经济和社会发展指导计划</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sectPr>
          <w:footerReference r:id="rId3" w:type="default"/>
          <w:footerReference r:id="rId4" w:type="even"/>
          <w:pgSz w:w="11907" w:h="16840"/>
          <w:pgMar w:top="2041" w:right="1531" w:bottom="1701" w:left="1531" w:header="851" w:footer="1395" w:gutter="0"/>
          <w:cols w:space="720" w:num="1"/>
          <w:docGrid w:linePitch="312" w:charSpace="0"/>
        </w:sectPr>
      </w:pPr>
    </w:p>
    <w:p>
      <w:pPr>
        <w:pStyle w:val="65"/>
        <w:spacing w:line="580" w:lineRule="exact"/>
        <w:ind w:firstLine="0"/>
        <w:rPr>
          <w:rFonts w:cs="Times New Roman"/>
        </w:rPr>
      </w:pPr>
      <w:r>
        <w:rPr>
          <w:rFonts w:eastAsia="黑体" w:cs="Times New Roman"/>
          <w:sz w:val="32"/>
          <w:szCs w:val="32"/>
        </w:rPr>
        <w:t>附件</w:t>
      </w:r>
    </w:p>
    <w:p>
      <w:pPr>
        <w:spacing w:line="700" w:lineRule="exact"/>
        <w:jc w:val="center"/>
        <w:rPr>
          <w:rFonts w:eastAsia="方正小标宋简体"/>
          <w:bCs/>
          <w:color w:val="000000"/>
          <w:kern w:val="0"/>
          <w:sz w:val="44"/>
          <w:szCs w:val="44"/>
        </w:rPr>
      </w:pPr>
      <w:r>
        <w:rPr>
          <w:rFonts w:eastAsia="方正小标宋简体"/>
          <w:bCs/>
          <w:color w:val="000000"/>
          <w:kern w:val="0"/>
          <w:sz w:val="44"/>
          <w:szCs w:val="44"/>
        </w:rPr>
        <w:t>周村区2019年国民经济和社会发展指导计划（综合）</w:t>
      </w:r>
    </w:p>
    <w:tbl>
      <w:tblPr>
        <w:tblStyle w:val="18"/>
        <w:tblW w:w="0" w:type="auto"/>
        <w:jc w:val="center"/>
        <w:tblLayout w:type="fixed"/>
        <w:tblCellMar>
          <w:top w:w="0" w:type="dxa"/>
          <w:left w:w="0" w:type="dxa"/>
          <w:bottom w:w="0" w:type="dxa"/>
          <w:right w:w="0" w:type="dxa"/>
        </w:tblCellMar>
      </w:tblPr>
      <w:tblGrid>
        <w:gridCol w:w="3391"/>
        <w:gridCol w:w="1186"/>
        <w:gridCol w:w="1691"/>
        <w:gridCol w:w="1396"/>
        <w:gridCol w:w="1634"/>
        <w:gridCol w:w="1544"/>
        <w:gridCol w:w="2358"/>
      </w:tblGrid>
      <w:tr>
        <w:tblPrEx>
          <w:tblCellMar>
            <w:top w:w="0" w:type="dxa"/>
            <w:left w:w="0" w:type="dxa"/>
            <w:bottom w:w="0" w:type="dxa"/>
            <w:right w:w="0" w:type="dxa"/>
          </w:tblCellMar>
        </w:tblPrEx>
        <w:trPr>
          <w:wBefore w:w="0" w:type="auto"/>
          <w:trHeight w:val="272" w:hRule="atLeast"/>
          <w:jc w:val="center"/>
        </w:trPr>
        <w:tc>
          <w:tcPr>
            <w:tcW w:w="3391" w:type="dxa"/>
            <w:vMerge w:val="restart"/>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黑体"/>
                <w:color w:val="000000"/>
                <w:sz w:val="24"/>
              </w:rPr>
            </w:pPr>
            <w:r>
              <w:rPr>
                <w:rFonts w:hAnsi="黑体" w:eastAsia="黑体"/>
                <w:color w:val="000000"/>
                <w:kern w:val="0"/>
                <w:sz w:val="24"/>
              </w:rPr>
              <w:t>指</w:t>
            </w:r>
            <w:r>
              <w:rPr>
                <w:rStyle w:val="63"/>
                <w:rFonts w:hint="default" w:ascii="Times New Roman" w:hAnsi="黑体" w:eastAsia="黑体" w:cs="Times New Roman"/>
              </w:rPr>
              <w:t>标名称</w:t>
            </w:r>
          </w:p>
        </w:tc>
        <w:tc>
          <w:tcPr>
            <w:tcW w:w="118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黑体"/>
                <w:color w:val="000000"/>
                <w:sz w:val="24"/>
              </w:rPr>
            </w:pPr>
            <w:r>
              <w:rPr>
                <w:rFonts w:hAnsi="黑体" w:eastAsia="黑体"/>
                <w:color w:val="000000"/>
                <w:kern w:val="0"/>
                <w:sz w:val="24"/>
              </w:rPr>
              <w:t>单位</w:t>
            </w:r>
          </w:p>
        </w:tc>
        <w:tc>
          <w:tcPr>
            <w:tcW w:w="3087"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eastAsia="黑体"/>
                <w:color w:val="000000"/>
                <w:sz w:val="24"/>
              </w:rPr>
            </w:pPr>
            <w:r>
              <w:rPr>
                <w:rFonts w:eastAsia="黑体"/>
                <w:color w:val="000000"/>
                <w:kern w:val="0"/>
                <w:sz w:val="24"/>
              </w:rPr>
              <w:t>2018</w:t>
            </w:r>
            <w:r>
              <w:rPr>
                <w:rStyle w:val="63"/>
                <w:rFonts w:hint="default" w:ascii="Times New Roman" w:hAnsi="黑体" w:eastAsia="黑体" w:cs="Times New Roman"/>
              </w:rPr>
              <w:t>年完成</w:t>
            </w:r>
          </w:p>
        </w:tc>
        <w:tc>
          <w:tcPr>
            <w:tcW w:w="31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黑体"/>
                <w:color w:val="000000"/>
                <w:sz w:val="24"/>
              </w:rPr>
            </w:pPr>
            <w:r>
              <w:rPr>
                <w:rFonts w:eastAsia="黑体"/>
                <w:color w:val="000000"/>
                <w:kern w:val="0"/>
                <w:sz w:val="24"/>
              </w:rPr>
              <w:t>2019</w:t>
            </w:r>
            <w:r>
              <w:rPr>
                <w:rStyle w:val="63"/>
                <w:rFonts w:hint="default" w:ascii="Times New Roman" w:hAnsi="黑体" w:eastAsia="黑体" w:cs="Times New Roman"/>
              </w:rPr>
              <w:t>年计划</w:t>
            </w:r>
          </w:p>
        </w:tc>
        <w:tc>
          <w:tcPr>
            <w:tcW w:w="2358"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pPr>
              <w:widowControl/>
              <w:spacing w:line="320" w:lineRule="exact"/>
              <w:jc w:val="center"/>
              <w:textAlignment w:val="center"/>
              <w:rPr>
                <w:rFonts w:eastAsia="黑体"/>
                <w:color w:val="000000"/>
                <w:sz w:val="24"/>
              </w:rPr>
            </w:pPr>
            <w:r>
              <w:rPr>
                <w:rFonts w:hAnsi="黑体" w:eastAsia="黑体"/>
                <w:color w:val="000000"/>
                <w:kern w:val="0"/>
                <w:sz w:val="24"/>
              </w:rPr>
              <w:t>备</w:t>
            </w:r>
            <w:r>
              <w:rPr>
                <w:rFonts w:eastAsia="黑体"/>
                <w:color w:val="000000"/>
                <w:kern w:val="0"/>
                <w:sz w:val="24"/>
              </w:rPr>
              <w:t xml:space="preserve">  </w:t>
            </w:r>
            <w:r>
              <w:rPr>
                <w:rFonts w:hAnsi="黑体" w:eastAsia="黑体"/>
                <w:color w:val="000000"/>
                <w:kern w:val="0"/>
                <w:sz w:val="24"/>
              </w:rPr>
              <w:t>注</w:t>
            </w:r>
          </w:p>
        </w:tc>
      </w:tr>
      <w:tr>
        <w:tblPrEx>
          <w:tblCellMar>
            <w:top w:w="0" w:type="dxa"/>
            <w:left w:w="0" w:type="dxa"/>
            <w:bottom w:w="0" w:type="dxa"/>
            <w:right w:w="0" w:type="dxa"/>
          </w:tblCellMar>
        </w:tblPrEx>
        <w:trPr>
          <w:wBefore w:w="0" w:type="auto"/>
          <w:trHeight w:val="272" w:hRule="atLeast"/>
          <w:jc w:val="center"/>
        </w:trPr>
        <w:tc>
          <w:tcPr>
            <w:tcW w:w="3391" w:type="dxa"/>
            <w:vMerge w:val="continue"/>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18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绝对值</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增长</w:t>
            </w:r>
            <w:r>
              <w:rPr>
                <w:rFonts w:hAnsi="黑体" w:eastAsia="黑体"/>
                <w:kern w:val="0"/>
              </w:rPr>
              <w:t>%</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绝对值</w:t>
            </w:r>
          </w:p>
        </w:tc>
        <w:tc>
          <w:tcPr>
            <w:tcW w:w="15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增长</w:t>
            </w:r>
            <w:r>
              <w:rPr>
                <w:rFonts w:hAnsi="黑体" w:eastAsia="黑体"/>
                <w:kern w:val="0"/>
              </w:rPr>
              <w:t>%</w:t>
            </w:r>
          </w:p>
        </w:tc>
        <w:tc>
          <w:tcPr>
            <w:tcW w:w="2358"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一、地区生产总值</w:t>
            </w:r>
          </w:p>
        </w:tc>
        <w:tc>
          <w:tcPr>
            <w:tcW w:w="118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390.2</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5.1</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6.5</w:t>
            </w:r>
            <w:r>
              <w:rPr>
                <w:rStyle w:val="63"/>
                <w:rFonts w:hint="default" w:ascii="Times New Roman" w:hAnsi="Times New Roman" w:eastAsia="仿宋_GB2312" w:cs="Times New Roman"/>
              </w:rPr>
              <w:t>左右</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1.第一产业增加值</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8.8</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0.2</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2.</w:t>
            </w:r>
            <w:r>
              <w:rPr>
                <w:rStyle w:val="63"/>
                <w:rFonts w:hint="default" w:ascii="Times New Roman" w:hAnsi="Times New Roman" w:eastAsia="仿宋_GB2312" w:cs="Times New Roman"/>
              </w:rPr>
              <w:t>第二产业增加值</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174.3</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4.8</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其中：工业增加值</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166.8</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4.6</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6.2</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3.</w:t>
            </w:r>
            <w:r>
              <w:rPr>
                <w:rStyle w:val="63"/>
                <w:rFonts w:hint="default" w:ascii="Times New Roman" w:hAnsi="Times New Roman" w:eastAsia="仿宋_GB2312" w:cs="Times New Roman"/>
              </w:rPr>
              <w:t>第三产业增加值</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207.1</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5.7</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二、规模以上固定资产投资</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7.1</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w:t>
            </w:r>
            <w:r>
              <w:rPr>
                <w:rStyle w:val="63"/>
                <w:rFonts w:hint="default" w:ascii="Times New Roman" w:hAnsi="Times New Roman" w:eastAsia="仿宋_GB2312" w:cs="Times New Roman"/>
              </w:rPr>
              <w:t>左右</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1</w:t>
            </w:r>
            <w:r>
              <w:rPr>
                <w:rStyle w:val="67"/>
                <w:rFonts w:eastAsia="仿宋_GB2312"/>
              </w:rPr>
              <w:t>.</w:t>
            </w:r>
            <w:r>
              <w:rPr>
                <w:rStyle w:val="63"/>
                <w:rFonts w:hint="default" w:ascii="Times New Roman" w:hAnsi="Times New Roman" w:eastAsia="仿宋_GB2312" w:cs="Times New Roman"/>
              </w:rPr>
              <w:t>第一产业</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6.8</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2</w:t>
            </w:r>
            <w:r>
              <w:rPr>
                <w:rStyle w:val="67"/>
                <w:rFonts w:eastAsia="仿宋_GB2312"/>
              </w:rPr>
              <w:t>.</w:t>
            </w:r>
            <w:r>
              <w:rPr>
                <w:rStyle w:val="63"/>
                <w:rFonts w:hint="default" w:ascii="Times New Roman" w:hAnsi="Times New Roman" w:eastAsia="仿宋_GB2312" w:cs="Times New Roman"/>
              </w:rPr>
              <w:t>第二产业</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7.5</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其中：工业</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7.5</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3</w:t>
            </w:r>
            <w:r>
              <w:rPr>
                <w:rStyle w:val="67"/>
                <w:rFonts w:eastAsia="仿宋_GB2312"/>
              </w:rPr>
              <w:t>.</w:t>
            </w:r>
            <w:r>
              <w:rPr>
                <w:rStyle w:val="63"/>
                <w:rFonts w:hint="default" w:ascii="Times New Roman" w:hAnsi="Times New Roman" w:eastAsia="仿宋_GB2312" w:cs="Times New Roman"/>
              </w:rPr>
              <w:t>第三产业</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6.7</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6.5</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三、农业</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粮食总产量</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万吨</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5.33</w:t>
            </w:r>
          </w:p>
        </w:tc>
        <w:tc>
          <w:tcPr>
            <w:tcW w:w="13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4.85</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四、规模以上工业</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3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Fonts w:hint="eastAsia" w:eastAsia="仿宋_GB2312"/>
                <w:color w:val="000000"/>
                <w:kern w:val="0"/>
                <w:sz w:val="24"/>
              </w:rPr>
              <w:t xml:space="preserve"> </w:t>
            </w:r>
            <w:r>
              <w:rPr>
                <w:rFonts w:eastAsia="仿宋_GB2312"/>
                <w:color w:val="000000"/>
                <w:kern w:val="0"/>
                <w:sz w:val="24"/>
              </w:rPr>
              <w:t xml:space="preserve">  1.</w:t>
            </w:r>
            <w:r>
              <w:rPr>
                <w:rStyle w:val="63"/>
                <w:rFonts w:hint="default" w:ascii="Times New Roman" w:hAnsi="Times New Roman" w:eastAsia="仿宋_GB2312" w:cs="Times New Roman"/>
              </w:rPr>
              <w:t>总产值</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11.2</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10</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Fonts w:hint="eastAsia" w:eastAsia="仿宋_GB2312"/>
                <w:color w:val="000000"/>
                <w:kern w:val="0"/>
                <w:sz w:val="24"/>
              </w:rPr>
              <w:t xml:space="preserve"> </w:t>
            </w:r>
            <w:r>
              <w:rPr>
                <w:rFonts w:eastAsia="仿宋_GB2312"/>
                <w:color w:val="000000"/>
                <w:kern w:val="0"/>
                <w:sz w:val="24"/>
              </w:rPr>
              <w:t xml:space="preserve"> 2.</w:t>
            </w:r>
            <w:r>
              <w:rPr>
                <w:rStyle w:val="63"/>
                <w:rFonts w:hint="default" w:ascii="Times New Roman" w:hAnsi="Times New Roman" w:eastAsia="仿宋_GB2312" w:cs="Times New Roman"/>
              </w:rPr>
              <w:t>营业收入</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4.9</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10</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Fonts w:hint="eastAsia" w:eastAsia="仿宋_GB2312"/>
                <w:color w:val="000000"/>
                <w:kern w:val="0"/>
                <w:sz w:val="24"/>
              </w:rPr>
              <w:t xml:space="preserve"> </w:t>
            </w:r>
            <w:r>
              <w:rPr>
                <w:rFonts w:eastAsia="仿宋_GB2312"/>
                <w:color w:val="000000"/>
                <w:kern w:val="0"/>
                <w:sz w:val="24"/>
              </w:rPr>
              <w:t xml:space="preserve">  3.</w:t>
            </w:r>
            <w:r>
              <w:rPr>
                <w:rStyle w:val="63"/>
                <w:rFonts w:hint="default" w:ascii="Times New Roman" w:hAnsi="Times New Roman" w:eastAsia="仿宋_GB2312" w:cs="Times New Roman"/>
              </w:rPr>
              <w:t>利润</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137.3</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10</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仿宋_GB2312"/>
                <w:color w:val="000000"/>
                <w:kern w:val="0"/>
                <w:sz w:val="24"/>
              </w:rPr>
            </w:pPr>
            <w:r>
              <w:rPr>
                <w:rFonts w:eastAsia="仿宋_GB2312"/>
                <w:color w:val="000000"/>
                <w:kern w:val="0"/>
                <w:sz w:val="24"/>
              </w:rPr>
              <w:t xml:space="preserve">  </w:t>
            </w:r>
            <w:r>
              <w:rPr>
                <w:rStyle w:val="63"/>
                <w:rFonts w:hint="default" w:ascii="Times New Roman" w:hAnsi="Times New Roman" w:eastAsia="仿宋_GB2312" w:cs="Times New Roman"/>
              </w:rPr>
              <w:t>五、科技创新</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eastAsia="仿宋_GB2312"/>
                <w:color w:val="000000"/>
                <w:kern w:val="0"/>
                <w:sz w:val="24"/>
              </w:rPr>
            </w:pP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kern w:val="0"/>
                <w:sz w:val="24"/>
              </w:rPr>
            </w:pP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kern w:val="0"/>
                <w:sz w:val="24"/>
              </w:rPr>
            </w:pP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kern w:val="0"/>
                <w:sz w:val="24"/>
              </w:rPr>
            </w:pP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kern w:val="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仿宋_GB2312"/>
                <w:color w:val="000000"/>
                <w:kern w:val="0"/>
                <w:sz w:val="24"/>
              </w:rPr>
            </w:pPr>
            <w:r>
              <w:rPr>
                <w:rFonts w:eastAsia="仿宋_GB2312"/>
                <w:color w:val="000000"/>
                <w:kern w:val="0"/>
                <w:sz w:val="24"/>
              </w:rPr>
              <w:t xml:space="preserve">    1</w:t>
            </w:r>
            <w:r>
              <w:rPr>
                <w:rStyle w:val="67"/>
                <w:rFonts w:eastAsia="仿宋_GB2312"/>
              </w:rPr>
              <w:t>.</w:t>
            </w:r>
            <w:r>
              <w:rPr>
                <w:rStyle w:val="63"/>
                <w:rFonts w:hint="default" w:ascii="Times New Roman" w:hAnsi="Times New Roman" w:eastAsia="仿宋_GB2312" w:cs="Times New Roman"/>
              </w:rPr>
              <w:t>高新技术产业产值占比</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仿宋_GB2312"/>
                <w:color w:val="000000"/>
                <w:kern w:val="0"/>
                <w:sz w:val="24"/>
              </w:rPr>
            </w:pPr>
            <w:r>
              <w:rPr>
                <w:rFonts w:eastAsia="仿宋_GB2312"/>
                <w:color w:val="000000"/>
                <w:kern w:val="0"/>
                <w:sz w:val="24"/>
              </w:rPr>
              <w:t>%</w:t>
            </w:r>
          </w:p>
        </w:tc>
        <w:tc>
          <w:tcPr>
            <w:tcW w:w="3087"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仿宋_GB2312"/>
                <w:color w:val="000000"/>
                <w:kern w:val="0"/>
                <w:sz w:val="24"/>
              </w:rPr>
            </w:pPr>
            <w:r>
              <w:rPr>
                <w:rFonts w:eastAsia="仿宋_GB2312"/>
                <w:color w:val="000000"/>
                <w:kern w:val="0"/>
                <w:sz w:val="24"/>
              </w:rPr>
              <w:t>42.89</w:t>
            </w:r>
          </w:p>
        </w:tc>
        <w:tc>
          <w:tcPr>
            <w:tcW w:w="3178"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仿宋_GB2312"/>
                <w:color w:val="000000"/>
                <w:kern w:val="0"/>
                <w:sz w:val="24"/>
              </w:rPr>
            </w:pPr>
            <w:r>
              <w:rPr>
                <w:rStyle w:val="63"/>
                <w:rFonts w:hint="default" w:ascii="Times New Roman" w:hAnsi="Times New Roman" w:eastAsia="仿宋_GB2312" w:cs="Times New Roman"/>
              </w:rPr>
              <w:t>占比提高</w:t>
            </w:r>
            <w:r>
              <w:rPr>
                <w:rStyle w:val="67"/>
                <w:rFonts w:eastAsia="仿宋_GB2312"/>
              </w:rPr>
              <w:t>1</w:t>
            </w:r>
            <w:r>
              <w:rPr>
                <w:rStyle w:val="63"/>
                <w:rFonts w:hint="default" w:ascii="Times New Roman" w:hAnsi="Times New Roman" w:eastAsia="仿宋_GB2312" w:cs="Times New Roman"/>
              </w:rPr>
              <w:t>个百分点</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eastAsia="仿宋_GB2312"/>
                <w:color w:val="000000"/>
                <w:kern w:val="0"/>
                <w:sz w:val="24"/>
              </w:rPr>
            </w:pPr>
            <w:r>
              <w:rPr>
                <w:rFonts w:eastAsia="仿宋_GB2312"/>
                <w:color w:val="000000"/>
                <w:kern w:val="0"/>
                <w:sz w:val="24"/>
              </w:rPr>
              <w:t xml:space="preserve">    2.</w:t>
            </w:r>
            <w:r>
              <w:rPr>
                <w:rStyle w:val="63"/>
                <w:rFonts w:hint="default" w:ascii="Times New Roman" w:hAnsi="Times New Roman" w:eastAsia="仿宋_GB2312" w:cs="Times New Roman"/>
              </w:rPr>
              <w:t>研发经费投入占比</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仿宋_GB2312"/>
                <w:color w:val="000000"/>
                <w:kern w:val="0"/>
                <w:sz w:val="24"/>
              </w:rPr>
            </w:pPr>
            <w:r>
              <w:rPr>
                <w:rFonts w:eastAsia="仿宋_GB2312"/>
                <w:color w:val="000000"/>
                <w:kern w:val="0"/>
                <w:sz w:val="24"/>
              </w:rPr>
              <w:t>%</w:t>
            </w:r>
          </w:p>
        </w:tc>
        <w:tc>
          <w:tcPr>
            <w:tcW w:w="3087"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仿宋_GB2312"/>
                <w:color w:val="000000"/>
                <w:kern w:val="0"/>
                <w:sz w:val="24"/>
              </w:rPr>
            </w:pPr>
            <w:r>
              <w:rPr>
                <w:rFonts w:eastAsia="仿宋_GB2312"/>
                <w:color w:val="000000"/>
                <w:kern w:val="0"/>
                <w:sz w:val="24"/>
              </w:rPr>
              <w:t>—</w:t>
            </w:r>
          </w:p>
        </w:tc>
        <w:tc>
          <w:tcPr>
            <w:tcW w:w="3178"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eastAsia="仿宋_GB2312"/>
                <w:color w:val="000000"/>
                <w:kern w:val="0"/>
                <w:sz w:val="24"/>
              </w:rPr>
            </w:pPr>
            <w:r>
              <w:rPr>
                <w:rFonts w:eastAsia="仿宋_GB2312"/>
                <w:color w:val="000000"/>
                <w:kern w:val="0"/>
                <w:sz w:val="24"/>
              </w:rPr>
              <w:t>3%</w:t>
            </w:r>
            <w:r>
              <w:rPr>
                <w:rStyle w:val="63"/>
                <w:rFonts w:hint="default" w:ascii="Times New Roman" w:hAnsi="Times New Roman" w:eastAsia="仿宋_GB2312" w:cs="Times New Roman"/>
              </w:rPr>
              <w:t>以上</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vMerge w:val="restart"/>
            <w:tcBorders>
              <w:top w:val="single" w:color="000000" w:sz="4" w:space="0"/>
              <w:left w:val="nil"/>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指标名称</w:t>
            </w:r>
          </w:p>
        </w:tc>
        <w:tc>
          <w:tcPr>
            <w:tcW w:w="118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单位</w:t>
            </w:r>
          </w:p>
        </w:tc>
        <w:tc>
          <w:tcPr>
            <w:tcW w:w="3087"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2018年完成</w:t>
            </w:r>
          </w:p>
        </w:tc>
        <w:tc>
          <w:tcPr>
            <w:tcW w:w="31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2019年计划</w:t>
            </w:r>
          </w:p>
        </w:tc>
        <w:tc>
          <w:tcPr>
            <w:tcW w:w="2358" w:type="dxa"/>
            <w:vMerge w:val="restart"/>
            <w:tcBorders>
              <w:top w:val="single" w:color="000000" w:sz="4" w:space="0"/>
              <w:left w:val="single" w:color="000000" w:sz="4" w:space="0"/>
              <w:right w:val="nil"/>
            </w:tcBorders>
            <w:noWrap w:val="0"/>
            <w:tcMar>
              <w:top w:w="15" w:type="dxa"/>
              <w:left w:w="15" w:type="dxa"/>
              <w:right w:w="15" w:type="dxa"/>
            </w:tcMar>
            <w:vAlign w:val="center"/>
          </w:tcPr>
          <w:p>
            <w:pPr>
              <w:widowControl/>
              <w:spacing w:line="300" w:lineRule="exact"/>
              <w:jc w:val="center"/>
              <w:textAlignment w:val="center"/>
              <w:rPr>
                <w:rFonts w:hAnsi="黑体" w:eastAsia="黑体"/>
                <w:color w:val="000000"/>
                <w:kern w:val="0"/>
                <w:sz w:val="24"/>
              </w:rPr>
            </w:pPr>
            <w:r>
              <w:rPr>
                <w:rFonts w:hAnsi="黑体" w:eastAsia="黑体"/>
                <w:color w:val="000000"/>
                <w:kern w:val="0"/>
                <w:sz w:val="24"/>
              </w:rPr>
              <w:t>备  注</w:t>
            </w:r>
          </w:p>
        </w:tc>
      </w:tr>
      <w:tr>
        <w:tblPrEx>
          <w:tblCellMar>
            <w:top w:w="0" w:type="dxa"/>
            <w:left w:w="0" w:type="dxa"/>
            <w:bottom w:w="0" w:type="dxa"/>
            <w:right w:w="0" w:type="dxa"/>
          </w:tblCellMar>
        </w:tblPrEx>
        <w:trPr>
          <w:wBefore w:w="0" w:type="auto"/>
          <w:trHeight w:val="258" w:hRule="atLeast"/>
          <w:jc w:val="center"/>
        </w:trPr>
        <w:tc>
          <w:tcPr>
            <w:tcW w:w="3391" w:type="dxa"/>
            <w:vMerge w:val="continue"/>
            <w:tcBorders>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p>
        </w:tc>
        <w:tc>
          <w:tcPr>
            <w:tcW w:w="118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Ansi="黑体" w:eastAsia="黑体"/>
                <w:color w:val="000000"/>
                <w:kern w:val="0"/>
                <w:sz w:val="24"/>
              </w:rPr>
            </w:pPr>
          </w:p>
        </w:tc>
        <w:tc>
          <w:tcPr>
            <w:tcW w:w="16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绝对值</w:t>
            </w:r>
          </w:p>
        </w:tc>
        <w:tc>
          <w:tcPr>
            <w:tcW w:w="13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增长%</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绝对值</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增长%</w:t>
            </w:r>
          </w:p>
        </w:tc>
        <w:tc>
          <w:tcPr>
            <w:tcW w:w="2358" w:type="dxa"/>
            <w:vMerge w:val="continue"/>
            <w:tcBorders>
              <w:left w:val="single" w:color="000000" w:sz="4" w:space="0"/>
              <w:bottom w:val="single" w:color="000000" w:sz="4" w:space="0"/>
              <w:right w:val="nil"/>
            </w:tcBorders>
            <w:noWrap w:val="0"/>
            <w:tcMar>
              <w:top w:w="15" w:type="dxa"/>
              <w:left w:w="15" w:type="dxa"/>
              <w:right w:w="15" w:type="dxa"/>
            </w:tcMar>
            <w:vAlign w:val="center"/>
          </w:tcPr>
          <w:p>
            <w:pPr>
              <w:widowControl/>
              <w:spacing w:line="300" w:lineRule="exact"/>
              <w:jc w:val="center"/>
              <w:rPr>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六、外经外贸</w:t>
            </w:r>
          </w:p>
        </w:tc>
        <w:tc>
          <w:tcPr>
            <w:tcW w:w="118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5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1</w:t>
            </w:r>
            <w:r>
              <w:rPr>
                <w:rStyle w:val="67"/>
                <w:rFonts w:eastAsia="仿宋_GB2312"/>
              </w:rPr>
              <w:t>.</w:t>
            </w:r>
            <w:r>
              <w:rPr>
                <w:rStyle w:val="63"/>
                <w:rFonts w:hint="default" w:ascii="Times New Roman" w:hAnsi="Times New Roman" w:eastAsia="仿宋_GB2312" w:cs="Times New Roman"/>
              </w:rPr>
              <w:t>进出口总额</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万元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470061</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24.3</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493600</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5.0</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其中：出口总额</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万元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393582</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31.7</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413300</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5.0</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进口总额</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万元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76479</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-3.3</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80300</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5.0</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2</w:t>
            </w:r>
            <w:r>
              <w:rPr>
                <w:rStyle w:val="67"/>
                <w:rFonts w:eastAsia="仿宋_GB2312"/>
              </w:rPr>
              <w:t>.</w:t>
            </w:r>
            <w:r>
              <w:rPr>
                <w:rStyle w:val="63"/>
                <w:rFonts w:hint="default" w:ascii="Times New Roman" w:hAnsi="Times New Roman" w:eastAsia="仿宋_GB2312" w:cs="Times New Roman"/>
              </w:rPr>
              <w:t>实际利用外资</w:t>
            </w:r>
            <w:r>
              <w:rPr>
                <w:rStyle w:val="67"/>
                <w:rFonts w:eastAsia="仿宋_GB2312"/>
              </w:rPr>
              <w:t xml:space="preserve"> </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万元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50448</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16.2</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2000</w:t>
            </w:r>
            <w:r>
              <w:rPr>
                <w:rStyle w:val="63"/>
                <w:rFonts w:hint="default" w:ascii="Times New Roman" w:hAnsi="Times New Roman" w:eastAsia="仿宋_GB2312" w:cs="Times New Roman"/>
              </w:rPr>
              <w:t>（万美元）</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Cs w:val="21"/>
              </w:rPr>
              <w:t>2019年采用商务部口径</w:t>
            </w: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七、财政金融</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1.</w:t>
            </w:r>
            <w:r>
              <w:rPr>
                <w:rStyle w:val="63"/>
                <w:rFonts w:hint="default" w:ascii="Times New Roman" w:hAnsi="Times New Roman" w:eastAsia="仿宋_GB2312" w:cs="Times New Roman"/>
              </w:rPr>
              <w:t>一般公共预算收入</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20.06</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6.77</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21.06</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5</w:t>
            </w:r>
            <w:r>
              <w:rPr>
                <w:rStyle w:val="63"/>
                <w:rFonts w:hint="default" w:ascii="Times New Roman" w:hAnsi="Times New Roman" w:eastAsia="仿宋_GB2312" w:cs="Times New Roman"/>
              </w:rPr>
              <w:t>左右</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其中：税务部门</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12.74</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22.35</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14.01</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10</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Cs w:val="21"/>
              </w:rPr>
              <w:t>不含淄博经开区</w:t>
            </w: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2.</w:t>
            </w:r>
            <w:r>
              <w:rPr>
                <w:rStyle w:val="63"/>
                <w:rFonts w:hint="default" w:ascii="Times New Roman" w:hAnsi="Times New Roman" w:eastAsia="仿宋_GB2312" w:cs="Times New Roman"/>
              </w:rPr>
              <w:t>金融机构存款余额</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351.63</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9.8</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370</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6左右</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3.</w:t>
            </w:r>
            <w:r>
              <w:rPr>
                <w:rStyle w:val="63"/>
                <w:rFonts w:hint="default" w:ascii="Times New Roman" w:hAnsi="Times New Roman" w:eastAsia="仿宋_GB2312" w:cs="Times New Roman"/>
              </w:rPr>
              <w:t>金融机构贷款余额</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160.67</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4.5</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185</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15左右</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八、市场物价</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1</w:t>
            </w:r>
            <w:r>
              <w:rPr>
                <w:rStyle w:val="67"/>
                <w:rFonts w:eastAsia="仿宋_GB2312"/>
              </w:rPr>
              <w:t>.</w:t>
            </w:r>
            <w:r>
              <w:rPr>
                <w:rStyle w:val="63"/>
                <w:rFonts w:hint="default" w:ascii="Times New Roman" w:hAnsi="Times New Roman" w:eastAsia="仿宋_GB2312" w:cs="Times New Roman"/>
              </w:rPr>
              <w:t>社会消费品零售总额</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亿元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187.6</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7.7</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8.5</w:t>
            </w:r>
            <w:r>
              <w:rPr>
                <w:rStyle w:val="63"/>
                <w:rFonts w:hint="default" w:ascii="Times New Roman" w:hAnsi="Times New Roman" w:eastAsia="仿宋_GB2312" w:cs="Times New Roman"/>
              </w:rPr>
              <w:t>左右</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2</w:t>
            </w:r>
            <w:r>
              <w:rPr>
                <w:rStyle w:val="67"/>
                <w:rFonts w:eastAsia="仿宋_GB2312"/>
              </w:rPr>
              <w:t>.</w:t>
            </w:r>
            <w:r>
              <w:rPr>
                <w:rStyle w:val="63"/>
                <w:rFonts w:hint="default" w:ascii="Times New Roman" w:hAnsi="Times New Roman" w:eastAsia="仿宋_GB2312" w:cs="Times New Roman"/>
              </w:rPr>
              <w:t>居民消费价格总指数</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102.9</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103.0</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九、人民生活</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1</w:t>
            </w:r>
            <w:r>
              <w:rPr>
                <w:rStyle w:val="67"/>
                <w:rFonts w:eastAsia="仿宋_GB2312"/>
              </w:rPr>
              <w:t>.</w:t>
            </w:r>
            <w:r>
              <w:rPr>
                <w:rStyle w:val="63"/>
                <w:rFonts w:hint="default" w:ascii="Times New Roman" w:hAnsi="Times New Roman" w:eastAsia="仿宋_GB2312" w:cs="Times New Roman"/>
              </w:rPr>
              <w:t>城镇居民人均可支配收入</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37812</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7.0</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w:t>
            </w:r>
            <w:r>
              <w:rPr>
                <w:rStyle w:val="63"/>
                <w:rFonts w:hint="default" w:ascii="Times New Roman" w:hAnsi="Times New Roman" w:eastAsia="仿宋_GB2312" w:cs="Times New Roman"/>
              </w:rPr>
              <w:t>左右</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2</w:t>
            </w:r>
            <w:r>
              <w:rPr>
                <w:rStyle w:val="67"/>
                <w:rFonts w:eastAsia="仿宋_GB2312"/>
              </w:rPr>
              <w:t>.</w:t>
            </w:r>
            <w:r>
              <w:rPr>
                <w:rStyle w:val="63"/>
                <w:rFonts w:hint="default" w:ascii="Times New Roman" w:hAnsi="Times New Roman" w:eastAsia="仿宋_GB2312" w:cs="Times New Roman"/>
              </w:rPr>
              <w:t>农村居民人均可支配收入</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17780</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7.6</w:t>
            </w:r>
          </w:p>
        </w:tc>
        <w:tc>
          <w:tcPr>
            <w:tcW w:w="16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7</w:t>
            </w:r>
            <w:r>
              <w:rPr>
                <w:rStyle w:val="63"/>
                <w:rFonts w:hint="default" w:ascii="Times New Roman" w:hAnsi="Times New Roman" w:eastAsia="仿宋_GB2312" w:cs="Times New Roman"/>
              </w:rPr>
              <w:t>以上</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十、人口</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1</w:t>
            </w:r>
            <w:r>
              <w:rPr>
                <w:rStyle w:val="67"/>
                <w:rFonts w:eastAsia="仿宋_GB2312"/>
              </w:rPr>
              <w:t>.</w:t>
            </w:r>
            <w:r>
              <w:rPr>
                <w:rStyle w:val="63"/>
                <w:rFonts w:hint="default" w:ascii="Times New Roman" w:hAnsi="Times New Roman" w:eastAsia="仿宋_GB2312" w:cs="Times New Roman"/>
              </w:rPr>
              <w:t>年末总人口</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287494</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-0.1</w:t>
            </w: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288000</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0.2</w:t>
            </w: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2</w:t>
            </w:r>
            <w:r>
              <w:rPr>
                <w:rStyle w:val="67"/>
                <w:rFonts w:eastAsia="仿宋_GB2312"/>
              </w:rPr>
              <w:t>.</w:t>
            </w:r>
            <w:r>
              <w:rPr>
                <w:rStyle w:val="63"/>
                <w:rFonts w:hint="default" w:ascii="Times New Roman" w:hAnsi="Times New Roman" w:eastAsia="仿宋_GB2312" w:cs="Times New Roman"/>
              </w:rPr>
              <w:t>人口自然增长率</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3.28</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3</w:t>
            </w:r>
            <w:r>
              <w:rPr>
                <w:rStyle w:val="68"/>
                <w:rFonts w:hint="default" w:ascii="Times New Roman" w:hAnsi="Times New Roman" w:eastAsia="仿宋_GB2312" w:cs="Times New Roman"/>
              </w:rPr>
              <w:t>左右</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58"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十一、社会保障</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r>
        <w:tblPrEx>
          <w:tblCellMar>
            <w:top w:w="0" w:type="dxa"/>
            <w:left w:w="0" w:type="dxa"/>
            <w:bottom w:w="0" w:type="dxa"/>
            <w:right w:w="0" w:type="dxa"/>
          </w:tblCellMar>
        </w:tblPrEx>
        <w:trPr>
          <w:wBefore w:w="0" w:type="auto"/>
          <w:trHeight w:val="272" w:hRule="atLeast"/>
          <w:jc w:val="center"/>
        </w:trPr>
        <w:tc>
          <w:tcPr>
            <w:tcW w:w="339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textAlignment w:val="center"/>
              <w:rPr>
                <w:rFonts w:eastAsia="仿宋_GB2312"/>
                <w:color w:val="000000"/>
                <w:sz w:val="24"/>
              </w:rPr>
            </w:pPr>
            <w:r>
              <w:rPr>
                <w:rFonts w:eastAsia="仿宋_GB2312"/>
                <w:color w:val="000000"/>
                <w:kern w:val="0"/>
                <w:sz w:val="24"/>
              </w:rPr>
              <w:t xml:space="preserve">    </w:t>
            </w:r>
            <w:r>
              <w:rPr>
                <w:rStyle w:val="63"/>
                <w:rFonts w:hint="default" w:ascii="Times New Roman" w:hAnsi="Times New Roman" w:eastAsia="仿宋_GB2312" w:cs="Times New Roman"/>
              </w:rPr>
              <w:t>城镇登记失业率</w:t>
            </w: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2.41以内</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4</w:t>
            </w:r>
            <w:r>
              <w:rPr>
                <w:rStyle w:val="68"/>
                <w:rFonts w:hint="default" w:ascii="Times New Roman" w:hAnsi="Times New Roman" w:eastAsia="仿宋_GB2312" w:cs="Times New Roman"/>
              </w:rPr>
              <w:t>以内</w:t>
            </w:r>
          </w:p>
        </w:tc>
        <w:tc>
          <w:tcPr>
            <w:tcW w:w="1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eastAsia="仿宋_GB2312"/>
                <w:color w:val="000000"/>
                <w:sz w:val="24"/>
              </w:rPr>
            </w:pPr>
          </w:p>
        </w:tc>
        <w:tc>
          <w:tcPr>
            <w:tcW w:w="235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rPr>
                <w:rFonts w:eastAsia="仿宋_GB2312"/>
                <w:color w:val="000000"/>
                <w:sz w:val="24"/>
              </w:rPr>
            </w:pPr>
          </w:p>
        </w:tc>
      </w:tr>
    </w:tbl>
    <w:p>
      <w:pPr>
        <w:widowControl/>
        <w:spacing w:line="560" w:lineRule="exact"/>
        <w:jc w:val="center"/>
        <w:textAlignment w:val="center"/>
        <w:rPr>
          <w:rFonts w:eastAsia="方正小标宋简体"/>
          <w:color w:val="000000"/>
          <w:kern w:val="0"/>
          <w:sz w:val="40"/>
          <w:szCs w:val="40"/>
        </w:rPr>
      </w:pPr>
      <w:r>
        <w:rPr>
          <w:rFonts w:eastAsia="方正小标宋简体"/>
          <w:color w:val="000000"/>
          <w:kern w:val="0"/>
          <w:sz w:val="40"/>
          <w:szCs w:val="40"/>
        </w:rPr>
        <w:br w:type="page"/>
      </w:r>
      <w:r>
        <w:rPr>
          <w:rFonts w:eastAsia="方正小标宋简体"/>
          <w:color w:val="000000"/>
          <w:kern w:val="0"/>
          <w:sz w:val="40"/>
          <w:szCs w:val="40"/>
        </w:rPr>
        <w:t>周村区2019年国民经济和社会发展指导计划（专项）</w:t>
      </w:r>
    </w:p>
    <w:p>
      <w:pPr>
        <w:widowControl/>
        <w:spacing w:line="560" w:lineRule="exact"/>
        <w:jc w:val="center"/>
        <w:textAlignment w:val="center"/>
        <w:rPr>
          <w:rFonts w:hint="eastAsia" w:eastAsia="方正小标宋简体"/>
          <w:color w:val="000000"/>
          <w:kern w:val="0"/>
          <w:sz w:val="40"/>
          <w:szCs w:val="40"/>
        </w:rPr>
      </w:pPr>
      <w:r>
        <w:rPr>
          <w:rFonts w:hint="eastAsia" w:eastAsia="楷体_GB2312"/>
          <w:color w:val="000000"/>
          <w:kern w:val="0"/>
          <w:sz w:val="32"/>
          <w:szCs w:val="32"/>
        </w:rPr>
        <w:t>（</w:t>
      </w:r>
      <w:r>
        <w:rPr>
          <w:rFonts w:eastAsia="楷体_GB2312"/>
          <w:color w:val="000000"/>
          <w:kern w:val="0"/>
          <w:sz w:val="32"/>
          <w:szCs w:val="32"/>
        </w:rPr>
        <w:t>生态环境和节能降耗计划</w:t>
      </w:r>
      <w:r>
        <w:rPr>
          <w:rFonts w:hint="eastAsia" w:eastAsia="楷体_GB2312"/>
          <w:color w:val="000000"/>
          <w:kern w:val="0"/>
          <w:sz w:val="32"/>
          <w:szCs w:val="32"/>
        </w:rPr>
        <w:t>）</w:t>
      </w:r>
    </w:p>
    <w:tbl>
      <w:tblPr>
        <w:tblStyle w:val="18"/>
        <w:tblW w:w="13161" w:type="dxa"/>
        <w:jc w:val="center"/>
        <w:tblLayout w:type="fixed"/>
        <w:tblCellMar>
          <w:top w:w="0" w:type="dxa"/>
          <w:left w:w="0" w:type="dxa"/>
          <w:bottom w:w="0" w:type="dxa"/>
          <w:right w:w="0" w:type="dxa"/>
        </w:tblCellMar>
      </w:tblPr>
      <w:tblGrid>
        <w:gridCol w:w="3855"/>
        <w:gridCol w:w="798"/>
        <w:gridCol w:w="923"/>
        <w:gridCol w:w="47"/>
        <w:gridCol w:w="968"/>
        <w:gridCol w:w="968"/>
        <w:gridCol w:w="179"/>
        <w:gridCol w:w="791"/>
        <w:gridCol w:w="968"/>
        <w:gridCol w:w="972"/>
        <w:gridCol w:w="2692"/>
      </w:tblGrid>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指标名称</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单位</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2018年完成</w:t>
            </w:r>
          </w:p>
        </w:tc>
        <w:tc>
          <w:tcPr>
            <w:tcW w:w="2731"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 xml:space="preserve">2019年计划 </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备注</w:t>
            </w: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一、城市生活环境</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7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w:t>
            </w:r>
            <w:r>
              <w:rPr>
                <w:rStyle w:val="62"/>
                <w:rFonts w:hint="default" w:ascii="Times New Roman" w:hAnsi="Times New Roman" w:eastAsia="仿宋_GB2312" w:cs="Times New Roman"/>
                <w:b w:val="0"/>
              </w:rPr>
              <w:t>1</w:t>
            </w:r>
            <w:r>
              <w:rPr>
                <w:rStyle w:val="69"/>
                <w:rFonts w:hint="default" w:ascii="Times New Roman" w:cs="Times New Roman"/>
              </w:rPr>
              <w:t>.饮用水源水质达标率</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100</w:t>
            </w:r>
          </w:p>
        </w:tc>
        <w:tc>
          <w:tcPr>
            <w:tcW w:w="27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100</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w:t>
            </w:r>
            <w:r>
              <w:rPr>
                <w:rStyle w:val="62"/>
                <w:rFonts w:hint="default" w:ascii="Times New Roman" w:hAnsi="Times New Roman" w:eastAsia="仿宋_GB2312" w:cs="Times New Roman"/>
                <w:b w:val="0"/>
              </w:rPr>
              <w:t>2</w:t>
            </w:r>
            <w:r>
              <w:rPr>
                <w:rStyle w:val="69"/>
                <w:rFonts w:hint="default" w:ascii="Times New Roman" w:cs="Times New Roman"/>
              </w:rPr>
              <w:t>.建成区绿化覆盖率</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46.2</w:t>
            </w:r>
          </w:p>
        </w:tc>
        <w:tc>
          <w:tcPr>
            <w:tcW w:w="27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46.25</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w:t>
            </w:r>
            <w:r>
              <w:rPr>
                <w:rStyle w:val="62"/>
                <w:rFonts w:hint="default" w:ascii="Times New Roman" w:hAnsi="Times New Roman" w:eastAsia="仿宋_GB2312" w:cs="Times New Roman"/>
                <w:b w:val="0"/>
              </w:rPr>
              <w:t>3</w:t>
            </w:r>
            <w:r>
              <w:rPr>
                <w:rStyle w:val="69"/>
                <w:rFonts w:hint="default" w:ascii="Times New Roman" w:cs="Times New Roman"/>
              </w:rPr>
              <w:t>.人均占有公共绿地</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m</w:t>
            </w:r>
            <w:r>
              <w:rPr>
                <w:rStyle w:val="71"/>
                <w:rFonts w:eastAsia="仿宋_GB2312"/>
              </w:rPr>
              <w:t>2</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22.2</w:t>
            </w:r>
          </w:p>
        </w:tc>
        <w:tc>
          <w:tcPr>
            <w:tcW w:w="27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22.2</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二、节能降耗</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162"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731"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1</w:t>
            </w:r>
            <w:r>
              <w:rPr>
                <w:rStyle w:val="72"/>
                <w:rFonts w:hint="default" w:ascii="Times New Roman" w:cs="Times New Roman"/>
              </w:rPr>
              <w:t>.万元生产总值综合能耗降低</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0.5</w:t>
            </w:r>
          </w:p>
        </w:tc>
        <w:tc>
          <w:tcPr>
            <w:tcW w:w="2731"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完成市下达计划任务指标</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2.煤炭消费总量控制</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Style w:val="73"/>
                <w:rFonts w:hint="default" w:ascii="Times New Roman" w:cs="Times New Roman"/>
              </w:rPr>
              <w:t>万吨</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79</w:t>
            </w:r>
            <w:r>
              <w:rPr>
                <w:rStyle w:val="73"/>
                <w:rFonts w:hint="default" w:ascii="Times New Roman" w:cs="Times New Roman"/>
              </w:rPr>
              <w:t>以内</w:t>
            </w:r>
          </w:p>
        </w:tc>
        <w:tc>
          <w:tcPr>
            <w:tcW w:w="273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77</w:t>
            </w:r>
            <w:r>
              <w:rPr>
                <w:rStyle w:val="73"/>
                <w:rFonts w:hint="default" w:ascii="Times New Roman" w:cs="Times New Roman"/>
              </w:rPr>
              <w:t>以内</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三、污染物排放控制和污染治理</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162"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731"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完成市下达计划任务指标</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1.达到化学需氧量排放量削减率</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3.04</w:t>
            </w:r>
          </w:p>
        </w:tc>
        <w:tc>
          <w:tcPr>
            <w:tcW w:w="2731"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2.达到氨氮排放量削减率</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3.02</w:t>
            </w:r>
          </w:p>
        </w:tc>
        <w:tc>
          <w:tcPr>
            <w:tcW w:w="2731"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3.达到二氧化硫排放量削减率</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6.06</w:t>
            </w:r>
          </w:p>
        </w:tc>
        <w:tc>
          <w:tcPr>
            <w:tcW w:w="2731"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6"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4.达到氮氧化物排放量削减率</w:t>
            </w:r>
          </w:p>
        </w:tc>
        <w:tc>
          <w:tcPr>
            <w:tcW w:w="1721"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w:t>
            </w:r>
          </w:p>
        </w:tc>
        <w:tc>
          <w:tcPr>
            <w:tcW w:w="21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6.6</w:t>
            </w:r>
          </w:p>
        </w:tc>
        <w:tc>
          <w:tcPr>
            <w:tcW w:w="2731"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eastAsia="仿宋_GB2312"/>
                <w:color w:val="000000"/>
                <w:sz w:val="24"/>
              </w:rPr>
            </w:pP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347" w:hRule="atLeast"/>
          <w:jc w:val="center"/>
        </w:trPr>
        <w:tc>
          <w:tcPr>
            <w:tcW w:w="13161" w:type="dxa"/>
            <w:gridSpan w:val="11"/>
            <w:tcBorders>
              <w:top w:val="nil"/>
              <w:left w:val="nil"/>
              <w:bottom w:val="nil"/>
              <w:right w:val="nil"/>
            </w:tcBorders>
            <w:noWrap w:val="0"/>
            <w:tcMar>
              <w:top w:w="15" w:type="dxa"/>
              <w:left w:w="15" w:type="dxa"/>
              <w:right w:w="15" w:type="dxa"/>
            </w:tcMar>
            <w:vAlign w:val="bottom"/>
          </w:tcPr>
          <w:p>
            <w:pPr>
              <w:widowControl/>
              <w:spacing w:line="560" w:lineRule="exact"/>
              <w:jc w:val="center"/>
              <w:textAlignment w:val="bottom"/>
              <w:rPr>
                <w:rFonts w:eastAsia="楷体_GB2312"/>
                <w:color w:val="000000"/>
                <w:sz w:val="32"/>
                <w:szCs w:val="32"/>
              </w:rPr>
            </w:pPr>
            <w:r>
              <w:rPr>
                <w:rFonts w:eastAsia="楷体_GB2312"/>
                <w:color w:val="000000"/>
                <w:kern w:val="0"/>
                <w:sz w:val="32"/>
                <w:szCs w:val="32"/>
              </w:rPr>
              <w:t>（教育事业招生计划）</w:t>
            </w:r>
          </w:p>
        </w:tc>
      </w:tr>
      <w:tr>
        <w:tblPrEx>
          <w:tblCellMar>
            <w:top w:w="0" w:type="dxa"/>
            <w:left w:w="0" w:type="dxa"/>
            <w:bottom w:w="0" w:type="dxa"/>
            <w:right w:w="0" w:type="dxa"/>
          </w:tblCellMar>
        </w:tblPrEx>
        <w:trPr>
          <w:wBefore w:w="0" w:type="dxa"/>
          <w:wAfter w:w="0" w:type="dxa"/>
          <w:trHeight w:val="217" w:hRule="atLeast"/>
          <w:jc w:val="center"/>
        </w:trPr>
        <w:tc>
          <w:tcPr>
            <w:tcW w:w="3855" w:type="dxa"/>
            <w:vMerge w:val="restart"/>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学校类别</w:t>
            </w:r>
          </w:p>
        </w:tc>
        <w:tc>
          <w:tcPr>
            <w:tcW w:w="79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单位</w:t>
            </w:r>
          </w:p>
        </w:tc>
        <w:tc>
          <w:tcPr>
            <w:tcW w:w="290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2018年完成</w:t>
            </w:r>
          </w:p>
        </w:tc>
        <w:tc>
          <w:tcPr>
            <w:tcW w:w="291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2019年计划</w:t>
            </w:r>
          </w:p>
        </w:tc>
        <w:tc>
          <w:tcPr>
            <w:tcW w:w="2692" w:type="dxa"/>
            <w:vMerge w:val="restart"/>
            <w:tcBorders>
              <w:top w:val="single" w:color="000000" w:sz="4" w:space="0"/>
              <w:left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eastAsia="仿宋_GB2312"/>
                <w:color w:val="000000"/>
                <w:sz w:val="24"/>
              </w:rPr>
            </w:pPr>
            <w:r>
              <w:rPr>
                <w:rFonts w:hAnsi="黑体" w:eastAsia="黑体"/>
                <w:color w:val="000000"/>
                <w:kern w:val="0"/>
                <w:sz w:val="24"/>
              </w:rPr>
              <w:t>备  注</w:t>
            </w:r>
          </w:p>
        </w:tc>
      </w:tr>
      <w:tr>
        <w:tblPrEx>
          <w:tblCellMar>
            <w:top w:w="0" w:type="dxa"/>
            <w:left w:w="0" w:type="dxa"/>
            <w:bottom w:w="0" w:type="dxa"/>
            <w:right w:w="0" w:type="dxa"/>
          </w:tblCellMar>
        </w:tblPrEx>
        <w:trPr>
          <w:wBefore w:w="0" w:type="dxa"/>
          <w:wAfter w:w="0" w:type="dxa"/>
          <w:trHeight w:val="217" w:hRule="atLeast"/>
          <w:jc w:val="center"/>
        </w:trPr>
        <w:tc>
          <w:tcPr>
            <w:tcW w:w="3855" w:type="dxa"/>
            <w:vMerge w:val="continue"/>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p>
        </w:tc>
        <w:tc>
          <w:tcPr>
            <w:tcW w:w="7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招生</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在校</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毕业</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招生</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在校</w:t>
            </w:r>
          </w:p>
        </w:tc>
        <w:tc>
          <w:tcPr>
            <w:tcW w:w="97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spacing w:line="320" w:lineRule="exact"/>
              <w:jc w:val="center"/>
              <w:textAlignment w:val="center"/>
              <w:rPr>
                <w:rFonts w:hAnsi="黑体" w:eastAsia="黑体"/>
                <w:color w:val="000000"/>
                <w:kern w:val="0"/>
                <w:sz w:val="24"/>
              </w:rPr>
            </w:pPr>
            <w:r>
              <w:rPr>
                <w:rFonts w:hAnsi="黑体" w:eastAsia="黑体"/>
                <w:color w:val="000000"/>
                <w:kern w:val="0"/>
                <w:sz w:val="24"/>
              </w:rPr>
              <w:t>毕业</w:t>
            </w:r>
          </w:p>
        </w:tc>
        <w:tc>
          <w:tcPr>
            <w:tcW w:w="2692" w:type="dxa"/>
            <w:vMerge w:val="continue"/>
            <w:tcBorders>
              <w:left w:val="single" w:color="000000" w:sz="4" w:space="0"/>
              <w:bottom w:val="nil"/>
              <w:right w:val="nil"/>
            </w:tcBorders>
            <w:noWrap w:val="0"/>
            <w:tcMar>
              <w:top w:w="15" w:type="dxa"/>
              <w:left w:w="15" w:type="dxa"/>
              <w:right w:w="15" w:type="dxa"/>
            </w:tcMar>
            <w:vAlign w:val="center"/>
          </w:tcPr>
          <w:p>
            <w:pPr>
              <w:jc w:val="center"/>
              <w:rPr>
                <w:rFonts w:eastAsia="仿宋_GB2312"/>
                <w:color w:val="000000"/>
                <w:sz w:val="24"/>
              </w:rPr>
            </w:pPr>
          </w:p>
        </w:tc>
      </w:tr>
      <w:tr>
        <w:tblPrEx>
          <w:tblCellMar>
            <w:top w:w="0" w:type="dxa"/>
            <w:left w:w="0" w:type="dxa"/>
            <w:bottom w:w="0" w:type="dxa"/>
            <w:right w:w="0" w:type="dxa"/>
          </w:tblCellMar>
        </w:tblPrEx>
        <w:trPr>
          <w:wBefore w:w="0" w:type="dxa"/>
          <w:wAfter w:w="0" w:type="dxa"/>
          <w:trHeight w:val="217"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w:t>
            </w:r>
            <w:r>
              <w:rPr>
                <w:rStyle w:val="62"/>
                <w:rFonts w:hint="default" w:ascii="Times New Roman" w:hAnsi="Times New Roman" w:eastAsia="仿宋_GB2312" w:cs="Times New Roman"/>
                <w:b w:val="0"/>
              </w:rPr>
              <w:t>1</w:t>
            </w:r>
            <w:r>
              <w:rPr>
                <w:rStyle w:val="69"/>
                <w:rFonts w:hint="default" w:ascii="Times New Roman" w:cs="Times New Roman"/>
              </w:rPr>
              <w:t>.职业学校</w:t>
            </w:r>
          </w:p>
        </w:tc>
        <w:tc>
          <w:tcPr>
            <w:tcW w:w="7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人</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2089</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3106</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554</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2100</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3249</w:t>
            </w:r>
          </w:p>
        </w:tc>
        <w:tc>
          <w:tcPr>
            <w:tcW w:w="97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1957</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eastAsia="仿宋_GB2312"/>
                <w:color w:val="000000"/>
                <w:sz w:val="24"/>
              </w:rPr>
            </w:pPr>
          </w:p>
        </w:tc>
      </w:tr>
      <w:tr>
        <w:tblPrEx>
          <w:tblCellMar>
            <w:top w:w="0" w:type="dxa"/>
            <w:left w:w="0" w:type="dxa"/>
            <w:bottom w:w="0" w:type="dxa"/>
            <w:right w:w="0" w:type="dxa"/>
          </w:tblCellMar>
        </w:tblPrEx>
        <w:trPr>
          <w:wBefore w:w="0" w:type="dxa"/>
          <w:wAfter w:w="0" w:type="dxa"/>
          <w:trHeight w:val="217"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w:t>
            </w:r>
            <w:r>
              <w:rPr>
                <w:rStyle w:val="62"/>
                <w:rFonts w:hint="default" w:ascii="Times New Roman" w:hAnsi="Times New Roman" w:eastAsia="仿宋_GB2312" w:cs="Times New Roman"/>
                <w:b w:val="0"/>
              </w:rPr>
              <w:t>2</w:t>
            </w:r>
            <w:r>
              <w:rPr>
                <w:rStyle w:val="69"/>
                <w:rFonts w:hint="default" w:ascii="Times New Roman" w:cs="Times New Roman"/>
              </w:rPr>
              <w:t>.普通高中</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人</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2360</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7086</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2538</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2400</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7097</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2389</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eastAsia="仿宋_GB2312"/>
                <w:color w:val="000000"/>
                <w:sz w:val="24"/>
              </w:rPr>
            </w:pPr>
          </w:p>
        </w:tc>
      </w:tr>
      <w:tr>
        <w:tblPrEx>
          <w:tblCellMar>
            <w:top w:w="0" w:type="dxa"/>
            <w:left w:w="0" w:type="dxa"/>
            <w:bottom w:w="0" w:type="dxa"/>
            <w:right w:w="0" w:type="dxa"/>
          </w:tblCellMar>
        </w:tblPrEx>
        <w:trPr>
          <w:wBefore w:w="0" w:type="dxa"/>
          <w:wAfter w:w="0" w:type="dxa"/>
          <w:trHeight w:val="217"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w:t>
            </w:r>
            <w:r>
              <w:rPr>
                <w:rStyle w:val="62"/>
                <w:rFonts w:hint="default" w:ascii="Times New Roman" w:hAnsi="Times New Roman" w:eastAsia="仿宋_GB2312" w:cs="Times New Roman"/>
                <w:b w:val="0"/>
              </w:rPr>
              <w:t>3</w:t>
            </w:r>
            <w:r>
              <w:rPr>
                <w:rStyle w:val="69"/>
                <w:rFonts w:hint="default" w:ascii="Times New Roman" w:cs="Times New Roman"/>
              </w:rPr>
              <w:t>.普通初中</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人</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2824</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11343</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2832</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2900</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11426</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2817</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eastAsia="仿宋_GB2312"/>
                <w:color w:val="000000"/>
                <w:szCs w:val="21"/>
              </w:rPr>
            </w:pPr>
            <w:r>
              <w:rPr>
                <w:rFonts w:eastAsia="仿宋_GB2312"/>
                <w:color w:val="000000"/>
                <w:kern w:val="0"/>
                <w:szCs w:val="21"/>
              </w:rPr>
              <w:t>不含经开区、文昌湖学生数</w:t>
            </w:r>
          </w:p>
        </w:tc>
      </w:tr>
      <w:tr>
        <w:tblPrEx>
          <w:tblCellMar>
            <w:top w:w="0" w:type="dxa"/>
            <w:left w:w="0" w:type="dxa"/>
            <w:bottom w:w="0" w:type="dxa"/>
            <w:right w:w="0" w:type="dxa"/>
          </w:tblCellMar>
        </w:tblPrEx>
        <w:trPr>
          <w:wBefore w:w="0" w:type="dxa"/>
          <w:wAfter w:w="0" w:type="dxa"/>
          <w:trHeight w:val="234" w:hRule="atLeast"/>
          <w:jc w:val="center"/>
        </w:trPr>
        <w:tc>
          <w:tcPr>
            <w:tcW w:w="385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eastAsia="仿宋_GB2312"/>
                <w:color w:val="000000"/>
                <w:sz w:val="24"/>
              </w:rPr>
            </w:pPr>
            <w:r>
              <w:rPr>
                <w:rFonts w:eastAsia="仿宋_GB2312"/>
                <w:color w:val="000000"/>
                <w:kern w:val="0"/>
                <w:sz w:val="24"/>
              </w:rPr>
              <w:t xml:space="preserve">  </w:t>
            </w:r>
            <w:r>
              <w:rPr>
                <w:rStyle w:val="62"/>
                <w:rFonts w:hint="default" w:ascii="Times New Roman" w:hAnsi="Times New Roman" w:eastAsia="仿宋_GB2312" w:cs="Times New Roman"/>
                <w:b w:val="0"/>
              </w:rPr>
              <w:t>4</w:t>
            </w:r>
            <w:r>
              <w:rPr>
                <w:rStyle w:val="69"/>
                <w:rFonts w:hint="default" w:ascii="Times New Roman" w:cs="Times New Roman"/>
              </w:rPr>
              <w:t>.普通小学</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人</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2991</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13984</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2949</w:t>
            </w:r>
          </w:p>
        </w:tc>
        <w:tc>
          <w:tcPr>
            <w:tcW w:w="9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2900</w:t>
            </w:r>
          </w:p>
        </w:tc>
        <w:tc>
          <w:tcPr>
            <w:tcW w:w="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14059</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2825</w:t>
            </w:r>
          </w:p>
        </w:tc>
        <w:tc>
          <w:tcPr>
            <w:tcW w:w="269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left"/>
              <w:textAlignment w:val="center"/>
              <w:rPr>
                <w:rFonts w:eastAsia="仿宋_GB2312"/>
                <w:color w:val="000000"/>
                <w:szCs w:val="21"/>
              </w:rPr>
            </w:pPr>
            <w:r>
              <w:rPr>
                <w:rFonts w:eastAsia="仿宋_GB2312"/>
                <w:color w:val="000000"/>
                <w:kern w:val="0"/>
                <w:szCs w:val="21"/>
              </w:rPr>
              <w:t>不含经开区、文昌湖学生数</w:t>
            </w:r>
          </w:p>
        </w:tc>
      </w:tr>
    </w:tbl>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sectPr>
          <w:pgSz w:w="16840" w:h="11907" w:orient="landscape"/>
          <w:pgMar w:top="1531" w:right="2041" w:bottom="1531" w:left="1701" w:header="851" w:footer="1395" w:gutter="0"/>
          <w:cols w:space="720" w:num="1"/>
          <w:docGrid w:linePitch="312" w:charSpace="0"/>
        </w:sect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400" w:lineRule="exact"/>
        <w:ind w:firstLine="640" w:firstLineChars="200"/>
        <w:rPr>
          <w:rFonts w:eastAsia="仿宋_GB2312"/>
          <w:sz w:val="32"/>
          <w:szCs w:val="32"/>
        </w:rPr>
      </w:pPr>
    </w:p>
    <w:p>
      <w:pPr>
        <w:spacing w:line="400" w:lineRule="exact"/>
        <w:ind w:firstLine="640" w:firstLineChars="200"/>
        <w:rPr>
          <w:rFonts w:eastAsia="仿宋_GB2312"/>
          <w:sz w:val="32"/>
          <w:szCs w:val="32"/>
        </w:rPr>
      </w:pPr>
    </w:p>
    <w:p>
      <w:pPr>
        <w:tabs>
          <w:tab w:val="left" w:pos="5310"/>
        </w:tabs>
        <w:spacing w:line="400" w:lineRule="exact"/>
        <w:ind w:firstLine="640" w:firstLineChars="200"/>
        <w:rPr>
          <w:rFonts w:eastAsia="仿宋_GB2312"/>
          <w:sz w:val="32"/>
          <w:szCs w:val="32"/>
        </w:rPr>
      </w:pPr>
      <w:r>
        <w:rPr>
          <w:rFonts w:eastAsia="仿宋_GB2312"/>
          <w:sz w:val="32"/>
          <w:szCs w:val="32"/>
        </w:rPr>
        <w:tab/>
      </w:r>
    </w:p>
    <w:p>
      <w:pPr>
        <w:spacing w:line="480" w:lineRule="exact"/>
        <w:ind w:firstLine="640" w:firstLineChars="200"/>
        <w:rPr>
          <w:rFonts w:eastAsia="仿宋_GB2312"/>
          <w:sz w:val="32"/>
          <w:szCs w:val="32"/>
        </w:rPr>
      </w:pPr>
    </w:p>
    <w:p>
      <w:pPr>
        <w:spacing w:line="240" w:lineRule="exact"/>
        <w:ind w:firstLine="640" w:firstLineChars="200"/>
        <w:rPr>
          <w:rFonts w:eastAsia="仿宋_GB2312"/>
          <w:sz w:val="32"/>
          <w:szCs w:val="32"/>
        </w:rPr>
      </w:pPr>
    </w:p>
    <w:p>
      <w:pPr>
        <w:spacing w:line="100" w:lineRule="exact"/>
        <w:ind w:firstLine="640" w:firstLineChars="200"/>
        <w:rPr>
          <w:rFonts w:hint="eastAsia" w:eastAsia="仿宋_GB2312"/>
          <w:sz w:val="32"/>
          <w:szCs w:val="32"/>
        </w:rPr>
      </w:pPr>
    </w:p>
    <w:p>
      <w:pPr>
        <w:spacing w:line="100" w:lineRule="exact"/>
        <w:ind w:firstLine="640" w:firstLineChars="200"/>
        <w:rPr>
          <w:rFonts w:hint="eastAsia" w:eastAsia="仿宋_GB2312"/>
          <w:sz w:val="32"/>
          <w:szCs w:val="32"/>
        </w:rPr>
      </w:pPr>
    </w:p>
    <w:p>
      <w:pPr>
        <w:spacing w:line="100" w:lineRule="exact"/>
        <w:ind w:firstLine="640" w:firstLineChars="200"/>
        <w:rPr>
          <w:rFonts w:hint="eastAsia" w:eastAsia="仿宋_GB2312"/>
          <w:sz w:val="32"/>
          <w:szCs w:val="32"/>
        </w:rPr>
      </w:pPr>
    </w:p>
    <w:p>
      <w:pPr>
        <w:pStyle w:val="16"/>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pPr>
        <w:widowControl/>
        <w:spacing w:line="340" w:lineRule="atLeast"/>
        <w:ind w:right="210" w:firstLine="280"/>
        <w:rPr>
          <w:rFonts w:eastAsia="仿宋_GB2312"/>
          <w:spacing w:val="8"/>
          <w:kern w:val="0"/>
          <w:sz w:val="28"/>
          <w:szCs w:val="28"/>
        </w:rPr>
      </w:pPr>
      <w:r>
        <w:rPr>
          <w:rFonts w:eastAsia="仿宋_GB2312"/>
          <w:spacing w:val="8"/>
          <w:kern w:val="0"/>
          <w:sz w:val="28"/>
          <w:szCs w:val="28"/>
        </w:rPr>
        <w:t>抄送：区委各部门，区人大办，区政协办，区人武部，区法院，</w:t>
      </w:r>
    </w:p>
    <w:p>
      <w:pPr>
        <w:widowControl/>
        <w:spacing w:line="340" w:lineRule="atLeast"/>
        <w:ind w:right="210" w:firstLine="280"/>
        <w:rPr>
          <w:rFonts w:eastAsia="仿宋_GB2312"/>
          <w:spacing w:val="8"/>
          <w:kern w:val="0"/>
          <w:sz w:val="28"/>
          <w:szCs w:val="28"/>
        </w:rPr>
      </w:pPr>
      <w:r>
        <w:rPr>
          <w:rFonts w:eastAsia="仿宋_GB2312"/>
          <w:spacing w:val="6"/>
          <w:kern w:val="0"/>
          <w:sz w:val="28"/>
          <w:szCs w:val="28"/>
        </w:rPr>
        <w:t xml:space="preserve">  </w:t>
      </w:r>
      <w:r>
        <w:rPr>
          <w:rFonts w:eastAsia="仿宋_GB2312"/>
          <w:spacing w:val="8"/>
          <w:kern w:val="0"/>
          <w:sz w:val="28"/>
          <w:szCs w:val="28"/>
        </w:rPr>
        <w:t xml:space="preserve"> </w:t>
      </w:r>
      <w:r>
        <w:rPr>
          <w:rFonts w:eastAsia="仿宋_GB2312"/>
          <w:spacing w:val="6"/>
          <w:kern w:val="0"/>
          <w:sz w:val="28"/>
          <w:szCs w:val="28"/>
        </w:rPr>
        <w:t xml:space="preserve"> </w:t>
      </w:r>
      <w:r>
        <w:rPr>
          <w:rFonts w:eastAsia="仿宋_GB2312"/>
          <w:spacing w:val="5"/>
          <w:kern w:val="0"/>
          <w:sz w:val="28"/>
          <w:szCs w:val="28"/>
        </w:rPr>
        <w:t xml:space="preserve">  </w:t>
      </w:r>
      <w:r>
        <w:rPr>
          <w:rFonts w:eastAsia="仿宋_GB2312"/>
          <w:spacing w:val="8"/>
          <w:kern w:val="0"/>
          <w:sz w:val="28"/>
          <w:szCs w:val="28"/>
        </w:rPr>
        <w:t>区检察院，各人民团体。</w:t>
      </w:r>
    </w:p>
    <w:p>
      <w:pPr>
        <w:pStyle w:val="16"/>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pPr>
        <w:pStyle w:val="16"/>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2019年5月24日印发</w:t>
      </w:r>
    </w:p>
    <w:p>
      <w:pPr>
        <w:pStyle w:val="16"/>
        <w:spacing w:line="340" w:lineRule="exact"/>
        <w:jc w:val="both"/>
        <w:rPr>
          <w:rFonts w:ascii="Times New Roman" w:hAnsi="Times New Roman" w:eastAsia="仿宋_GB2312"/>
          <w:b/>
          <w:spacing w:val="-8"/>
          <w:sz w:val="32"/>
        </w:rPr>
      </w:pPr>
      <w:r>
        <w:rPr>
          <w:rFonts w:ascii="Times New Roman" w:hAnsi="Times New Roman" w:eastAsia="仿宋_GB2312"/>
          <w:b/>
          <w:spacing w:val="-8"/>
          <w:sz w:val="30"/>
        </w:rPr>
        <w:t>——————————————————————————————</w:t>
      </w:r>
    </w:p>
    <w:sectPr>
      <w:pgSz w:w="11907" w:h="16840"/>
      <w:pgMar w:top="2041" w:right="1531" w:bottom="1701" w:left="1531" w:header="851" w:footer="1395"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Courier New">
    <w:altName w:val="DejaVu Sans"/>
    <w:panose1 w:val="02070309020205020404"/>
    <w:charset w:val="00"/>
    <w:family w:val="modern"/>
    <w:pitch w:val="default"/>
    <w:sig w:usb0="E0003AFF" w:usb1="C0007843" w:usb2="00000009" w:usb3="00000000" w:csb0="000001FF"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微软雅黑">
    <w:altName w:val="黑体"/>
    <w:panose1 w:val="020B0503020204020204"/>
    <w:charset w:val="00"/>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right="349" w:rightChars="166" w:firstLine="322" w:firstLineChars="115"/>
      <w:rPr>
        <w:rStyle w:val="21"/>
        <w:rFonts w:hint="eastAsia"/>
        <w:sz w:val="28"/>
        <w:szCs w:val="28"/>
      </w:rPr>
    </w:pPr>
    <w:r>
      <w:rPr>
        <w:rStyle w:val="21"/>
        <w:rFonts w:hint="eastAsia"/>
        <w:sz w:val="28"/>
        <w:szCs w:val="28"/>
      </w:rPr>
      <w:t xml:space="preserve">—  </w:t>
    </w:r>
    <w:r>
      <w:rPr>
        <w:sz w:val="28"/>
        <w:szCs w:val="28"/>
      </w:rPr>
      <w:fldChar w:fldCharType="begin"/>
    </w:r>
    <w:r>
      <w:rPr>
        <w:rStyle w:val="21"/>
        <w:sz w:val="28"/>
        <w:szCs w:val="28"/>
      </w:rPr>
      <w:instrText xml:space="preserve">PAGE  </w:instrText>
    </w:r>
    <w:r>
      <w:rPr>
        <w:sz w:val="28"/>
        <w:szCs w:val="28"/>
      </w:rPr>
      <w:fldChar w:fldCharType="separate"/>
    </w:r>
    <w:r>
      <w:rPr>
        <w:rStyle w:val="21"/>
        <w:sz w:val="28"/>
        <w:szCs w:val="28"/>
        <w:lang/>
      </w:rPr>
      <w:t>8</w:t>
    </w:r>
    <w:r>
      <w:rPr>
        <w:sz w:val="28"/>
        <w:szCs w:val="28"/>
      </w:rPr>
      <w:fldChar w:fldCharType="end"/>
    </w:r>
    <w:r>
      <w:rPr>
        <w:rStyle w:val="21"/>
        <w:rFonts w:hint="eastAsia"/>
        <w:sz w:val="28"/>
        <w:szCs w:val="28"/>
      </w:rPr>
      <w:t xml:space="preserve">  —</w:t>
    </w:r>
  </w:p>
  <w:p>
    <w:pPr>
      <w:pStyle w:val="1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fldChar w:fldCharType="begin"/>
    </w:r>
    <w:r>
      <w:rPr>
        <w:rStyle w:val="21"/>
      </w:rPr>
      <w:instrText xml:space="preserve">PAGE  </w:instrText>
    </w:r>
    <w:r>
      <w:fldChar w:fldCharType="separate"/>
    </w:r>
    <w:r>
      <w:rPr>
        <w:rStyle w:val="21"/>
        <w:lang/>
      </w:rPr>
      <w:t>12</w:t>
    </w:r>
    <w: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C93"/>
    <w:rsid w:val="00041802"/>
    <w:rsid w:val="00043A72"/>
    <w:rsid w:val="00043F20"/>
    <w:rsid w:val="00063A0E"/>
    <w:rsid w:val="00080B4C"/>
    <w:rsid w:val="000975A3"/>
    <w:rsid w:val="000A05D3"/>
    <w:rsid w:val="000D1195"/>
    <w:rsid w:val="000E4BDB"/>
    <w:rsid w:val="00147E14"/>
    <w:rsid w:val="00162741"/>
    <w:rsid w:val="001642BD"/>
    <w:rsid w:val="001B4796"/>
    <w:rsid w:val="001B5E43"/>
    <w:rsid w:val="001C5F05"/>
    <w:rsid w:val="001E0290"/>
    <w:rsid w:val="001E3C66"/>
    <w:rsid w:val="001F77C0"/>
    <w:rsid w:val="00201590"/>
    <w:rsid w:val="002017F5"/>
    <w:rsid w:val="0021190F"/>
    <w:rsid w:val="00241DE0"/>
    <w:rsid w:val="0024201B"/>
    <w:rsid w:val="002426A6"/>
    <w:rsid w:val="002504D7"/>
    <w:rsid w:val="002B0348"/>
    <w:rsid w:val="002C13D7"/>
    <w:rsid w:val="002D7FCA"/>
    <w:rsid w:val="002F794B"/>
    <w:rsid w:val="003177D7"/>
    <w:rsid w:val="003411CA"/>
    <w:rsid w:val="00360166"/>
    <w:rsid w:val="00361652"/>
    <w:rsid w:val="0037183E"/>
    <w:rsid w:val="00384992"/>
    <w:rsid w:val="00386D54"/>
    <w:rsid w:val="003A02E2"/>
    <w:rsid w:val="003A0E1C"/>
    <w:rsid w:val="003B3CA9"/>
    <w:rsid w:val="003E5DFC"/>
    <w:rsid w:val="004024B9"/>
    <w:rsid w:val="004218C4"/>
    <w:rsid w:val="004227A9"/>
    <w:rsid w:val="00422ED4"/>
    <w:rsid w:val="00451FC3"/>
    <w:rsid w:val="004535C5"/>
    <w:rsid w:val="004818D5"/>
    <w:rsid w:val="0048555B"/>
    <w:rsid w:val="00490405"/>
    <w:rsid w:val="004A2623"/>
    <w:rsid w:val="004A3F36"/>
    <w:rsid w:val="004A50AC"/>
    <w:rsid w:val="004B0568"/>
    <w:rsid w:val="004C7A17"/>
    <w:rsid w:val="004D562C"/>
    <w:rsid w:val="00517886"/>
    <w:rsid w:val="00526D6B"/>
    <w:rsid w:val="00555A9F"/>
    <w:rsid w:val="005A32E2"/>
    <w:rsid w:val="005B10E6"/>
    <w:rsid w:val="005C0F0C"/>
    <w:rsid w:val="005C29D8"/>
    <w:rsid w:val="005C5027"/>
    <w:rsid w:val="005E49E2"/>
    <w:rsid w:val="005E790B"/>
    <w:rsid w:val="00601A7F"/>
    <w:rsid w:val="006153AF"/>
    <w:rsid w:val="00635DD3"/>
    <w:rsid w:val="00644E2D"/>
    <w:rsid w:val="00674BB4"/>
    <w:rsid w:val="00690902"/>
    <w:rsid w:val="00697857"/>
    <w:rsid w:val="006A224C"/>
    <w:rsid w:val="006C76EF"/>
    <w:rsid w:val="006D6474"/>
    <w:rsid w:val="006F686B"/>
    <w:rsid w:val="007030CA"/>
    <w:rsid w:val="007044C5"/>
    <w:rsid w:val="00707F2B"/>
    <w:rsid w:val="00720FE1"/>
    <w:rsid w:val="00724087"/>
    <w:rsid w:val="00752770"/>
    <w:rsid w:val="00770190"/>
    <w:rsid w:val="007762D4"/>
    <w:rsid w:val="0078060B"/>
    <w:rsid w:val="00783389"/>
    <w:rsid w:val="007F090B"/>
    <w:rsid w:val="0080104E"/>
    <w:rsid w:val="0080483F"/>
    <w:rsid w:val="008169CF"/>
    <w:rsid w:val="008369F2"/>
    <w:rsid w:val="0084261D"/>
    <w:rsid w:val="00850154"/>
    <w:rsid w:val="00876C7A"/>
    <w:rsid w:val="008A3A42"/>
    <w:rsid w:val="008B3513"/>
    <w:rsid w:val="008C35A7"/>
    <w:rsid w:val="008C35E8"/>
    <w:rsid w:val="008E3747"/>
    <w:rsid w:val="009220EA"/>
    <w:rsid w:val="0095121C"/>
    <w:rsid w:val="00954EDE"/>
    <w:rsid w:val="00974AA0"/>
    <w:rsid w:val="0098583C"/>
    <w:rsid w:val="009974A3"/>
    <w:rsid w:val="009A4E97"/>
    <w:rsid w:val="00A06EE7"/>
    <w:rsid w:val="00A11371"/>
    <w:rsid w:val="00A25773"/>
    <w:rsid w:val="00A47FC2"/>
    <w:rsid w:val="00A5157C"/>
    <w:rsid w:val="00A60483"/>
    <w:rsid w:val="00A7372F"/>
    <w:rsid w:val="00A84699"/>
    <w:rsid w:val="00A91CAA"/>
    <w:rsid w:val="00AC3491"/>
    <w:rsid w:val="00AC5A60"/>
    <w:rsid w:val="00AC652D"/>
    <w:rsid w:val="00AE7752"/>
    <w:rsid w:val="00B02233"/>
    <w:rsid w:val="00B232BA"/>
    <w:rsid w:val="00B54AB2"/>
    <w:rsid w:val="00B72519"/>
    <w:rsid w:val="00B81592"/>
    <w:rsid w:val="00BA03CD"/>
    <w:rsid w:val="00BD0B6D"/>
    <w:rsid w:val="00C02D39"/>
    <w:rsid w:val="00C152D5"/>
    <w:rsid w:val="00C24A68"/>
    <w:rsid w:val="00C34F6A"/>
    <w:rsid w:val="00C47D4F"/>
    <w:rsid w:val="00C82215"/>
    <w:rsid w:val="00CA4D04"/>
    <w:rsid w:val="00CB750F"/>
    <w:rsid w:val="00CC0CF0"/>
    <w:rsid w:val="00CE58E1"/>
    <w:rsid w:val="00D14F80"/>
    <w:rsid w:val="00D24C86"/>
    <w:rsid w:val="00D60F19"/>
    <w:rsid w:val="00D84C88"/>
    <w:rsid w:val="00DC78A4"/>
    <w:rsid w:val="00DD7B5B"/>
    <w:rsid w:val="00E24377"/>
    <w:rsid w:val="00E30F74"/>
    <w:rsid w:val="00E76554"/>
    <w:rsid w:val="00E8376D"/>
    <w:rsid w:val="00EA2D64"/>
    <w:rsid w:val="00EA42A9"/>
    <w:rsid w:val="00EE4469"/>
    <w:rsid w:val="00F34F23"/>
    <w:rsid w:val="00F64F93"/>
    <w:rsid w:val="00F651E9"/>
    <w:rsid w:val="00F701F0"/>
    <w:rsid w:val="00F91607"/>
    <w:rsid w:val="00FA1186"/>
    <w:rsid w:val="00FD4F67"/>
    <w:rsid w:val="7576C9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link w:val="23"/>
    <w:uiPriority w:val="0"/>
    <w:pPr>
      <w:widowControl/>
      <w:spacing w:before="100" w:beforeLines="0" w:beforeAutospacing="1" w:after="100" w:afterLines="0" w:afterAutospacing="1"/>
      <w:jc w:val="left"/>
      <w:outlineLvl w:val="2"/>
    </w:pPr>
    <w:rPr>
      <w:rFonts w:ascii="宋体" w:hAnsi="宋体" w:eastAsia="宋体"/>
      <w:b/>
      <w:bCs/>
      <w:sz w:val="27"/>
      <w:szCs w:val="27"/>
      <w:lang w:val="en-US" w:eastAsia="zh-CN" w:bidi="ar-SA"/>
    </w:rPr>
  </w:style>
  <w:style w:type="character" w:default="1" w:styleId="19">
    <w:name w:val="Default Paragraph Font"/>
    <w:uiPriority w:val="0"/>
  </w:style>
  <w:style w:type="table" w:default="1" w:styleId="18">
    <w:name w:val="Normal Table"/>
    <w:semiHidden/>
    <w:uiPriority w:val="0"/>
    <w:tblPr>
      <w:tblStyle w:val="18"/>
      <w:tblCellMar>
        <w:top w:w="0" w:type="dxa"/>
        <w:left w:w="108" w:type="dxa"/>
        <w:bottom w:w="0" w:type="dxa"/>
        <w:right w:w="108" w:type="dxa"/>
      </w:tblCellMar>
    </w:tblPr>
    <w:trPr>
      <w:wBefore w:w="0" w:type="dxa"/>
    </w:trPr>
  </w:style>
  <w:style w:type="paragraph" w:styleId="4">
    <w:name w:val="Document Map"/>
    <w:basedOn w:val="1"/>
    <w:link w:val="25"/>
    <w:uiPriority w:val="0"/>
    <w:pPr>
      <w:shd w:val="clear" w:color="auto" w:fill="000080"/>
    </w:pPr>
    <w:rPr>
      <w:rFonts w:eastAsia="宋体"/>
      <w:kern w:val="2"/>
      <w:sz w:val="21"/>
      <w:szCs w:val="24"/>
      <w:lang w:val="en-US" w:eastAsia="zh-CN" w:bidi="ar-SA"/>
    </w:rPr>
  </w:style>
  <w:style w:type="paragraph" w:styleId="5">
    <w:name w:val="Body Text 3"/>
    <w:basedOn w:val="1"/>
    <w:uiPriority w:val="0"/>
    <w:pPr>
      <w:spacing w:line="480" w:lineRule="exact"/>
    </w:pPr>
    <w:rPr>
      <w:rFonts w:eastAsia="仿宋_GB2312"/>
      <w:sz w:val="32"/>
      <w:szCs w:val="30"/>
    </w:rPr>
  </w:style>
  <w:style w:type="paragraph" w:styleId="6">
    <w:name w:val="Body Text"/>
    <w:basedOn w:val="1"/>
    <w:uiPriority w:val="0"/>
    <w:rPr>
      <w:rFonts w:eastAsia="华文中宋"/>
      <w:w w:val="52"/>
      <w:sz w:val="144"/>
    </w:rPr>
  </w:style>
  <w:style w:type="paragraph" w:styleId="7">
    <w:name w:val="Body Text Indent"/>
    <w:basedOn w:val="1"/>
    <w:uiPriority w:val="0"/>
    <w:pPr>
      <w:spacing w:line="600" w:lineRule="exact"/>
      <w:ind w:firstLine="640" w:firstLineChars="200"/>
    </w:pPr>
    <w:rPr>
      <w:rFonts w:eastAsia="仿宋_GB2312"/>
      <w:sz w:val="32"/>
      <w:szCs w:val="32"/>
    </w:rPr>
  </w:style>
  <w:style w:type="paragraph" w:styleId="8">
    <w:name w:val="Block Text"/>
    <w:basedOn w:val="1"/>
    <w:uiPriority w:val="0"/>
    <w:pPr>
      <w:spacing w:line="600" w:lineRule="exact"/>
      <w:ind w:left="-180" w:leftChars="-86" w:right="-153" w:rightChars="-73" w:hanging="1"/>
    </w:pPr>
    <w:rPr>
      <w:rFonts w:eastAsia="仿宋_GB2312"/>
      <w:sz w:val="32"/>
      <w:szCs w:val="32"/>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link w:val="29"/>
    <w:uiPriority w:val="0"/>
    <w:rPr>
      <w:rFonts w:eastAsia="宋体"/>
      <w:kern w:val="2"/>
      <w:sz w:val="18"/>
      <w:szCs w:val="18"/>
      <w:lang w:val="en-US" w:eastAsia="zh-CN" w:bidi="ar-SA"/>
    </w:rPr>
  </w:style>
  <w:style w:type="paragraph" w:styleId="13">
    <w:name w:val="footer"/>
    <w:basedOn w:val="1"/>
    <w:link w:val="28"/>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link w:val="24"/>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6">
    <w:name w:val="Body Text 2"/>
    <w:basedOn w:val="1"/>
    <w:link w:val="26"/>
    <w:uiPriority w:val="0"/>
    <w:pPr>
      <w:jc w:val="center"/>
    </w:pPr>
    <w:rPr>
      <w:rFonts w:ascii="宋体" w:hAnsi="宋体" w:eastAsia="宋体"/>
      <w:kern w:val="2"/>
      <w:sz w:val="70"/>
      <w:szCs w:val="24"/>
      <w:lang w:val="en-US" w:eastAsia="zh-CN" w:bidi="ar-SA"/>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20">
    <w:name w:val="Strong"/>
    <w:basedOn w:val="19"/>
    <w:uiPriority w:val="0"/>
    <w:rPr>
      <w:b/>
      <w:bCs/>
    </w:rPr>
  </w:style>
  <w:style w:type="character" w:styleId="21">
    <w:name w:val="page number"/>
    <w:basedOn w:val="19"/>
    <w:uiPriority w:val="0"/>
  </w:style>
  <w:style w:type="character" w:styleId="22">
    <w:name w:val="annotation reference"/>
    <w:basedOn w:val="19"/>
    <w:uiPriority w:val="0"/>
    <w:rPr>
      <w:sz w:val="21"/>
      <w:szCs w:val="21"/>
    </w:rPr>
  </w:style>
  <w:style w:type="character" w:customStyle="1" w:styleId="23">
    <w:name w:val="标题 3 Char Char"/>
    <w:link w:val="3"/>
    <w:uiPriority w:val="0"/>
    <w:rPr>
      <w:rFonts w:ascii="宋体" w:hAnsi="宋体" w:eastAsia="宋体"/>
      <w:b/>
      <w:bCs/>
      <w:sz w:val="27"/>
      <w:szCs w:val="27"/>
      <w:lang w:val="en-US" w:eastAsia="zh-CN" w:bidi="ar-SA"/>
    </w:rPr>
  </w:style>
  <w:style w:type="character" w:customStyle="1" w:styleId="24">
    <w:name w:val="页眉 Char Char"/>
    <w:link w:val="14"/>
    <w:uiPriority w:val="0"/>
    <w:rPr>
      <w:rFonts w:eastAsia="宋体"/>
      <w:kern w:val="2"/>
      <w:sz w:val="18"/>
      <w:szCs w:val="18"/>
      <w:lang w:val="en-US" w:eastAsia="zh-CN" w:bidi="ar-SA"/>
    </w:rPr>
  </w:style>
  <w:style w:type="character" w:customStyle="1" w:styleId="25">
    <w:name w:val="文档结构图 Char Char"/>
    <w:link w:val="4"/>
    <w:uiPriority w:val="0"/>
    <w:rPr>
      <w:rFonts w:eastAsia="宋体"/>
      <w:kern w:val="2"/>
      <w:sz w:val="21"/>
      <w:szCs w:val="24"/>
      <w:lang w:val="en-US" w:eastAsia="zh-CN" w:bidi="ar-SA"/>
    </w:rPr>
  </w:style>
  <w:style w:type="character" w:customStyle="1" w:styleId="26">
    <w:name w:val="正文文本 2 Char Char"/>
    <w:link w:val="16"/>
    <w:uiPriority w:val="0"/>
    <w:rPr>
      <w:rFonts w:ascii="宋体" w:hAnsi="宋体" w:eastAsia="宋体"/>
      <w:kern w:val="2"/>
      <w:sz w:val="70"/>
      <w:szCs w:val="24"/>
      <w:lang w:val="en-US" w:eastAsia="zh-CN" w:bidi="ar-SA"/>
    </w:rPr>
  </w:style>
  <w:style w:type="character" w:customStyle="1" w:styleId="27">
    <w:name w:val="要点 New"/>
    <w:basedOn w:val="19"/>
    <w:uiPriority w:val="0"/>
    <w:rPr>
      <w:b/>
      <w:bCs/>
      <w:sz w:val="24"/>
    </w:rPr>
  </w:style>
  <w:style w:type="character" w:customStyle="1" w:styleId="28">
    <w:name w:val="页脚 Char Char"/>
    <w:basedOn w:val="19"/>
    <w:link w:val="13"/>
    <w:uiPriority w:val="0"/>
    <w:rPr>
      <w:rFonts w:eastAsia="宋体"/>
      <w:kern w:val="2"/>
      <w:sz w:val="18"/>
      <w:szCs w:val="18"/>
      <w:lang w:val="en-US" w:eastAsia="zh-CN" w:bidi="ar-SA"/>
    </w:rPr>
  </w:style>
  <w:style w:type="character" w:customStyle="1" w:styleId="29">
    <w:name w:val="批注框文本 Char Char"/>
    <w:link w:val="12"/>
    <w:uiPriority w:val="0"/>
    <w:rPr>
      <w:rFonts w:eastAsia="宋体"/>
      <w:kern w:val="2"/>
      <w:sz w:val="18"/>
      <w:szCs w:val="18"/>
      <w:lang w:val="en-US" w:eastAsia="zh-CN" w:bidi="ar-SA"/>
    </w:rPr>
  </w:style>
  <w:style w:type="character" w:customStyle="1" w:styleId="30">
    <w:name w:val="标题3 Char Char"/>
    <w:basedOn w:val="19"/>
    <w:link w:val="31"/>
    <w:uiPriority w:val="0"/>
    <w:rPr>
      <w:rFonts w:eastAsia="仿宋_GB2312"/>
      <w:b/>
      <w:bCs/>
      <w:kern w:val="2"/>
      <w:sz w:val="32"/>
      <w:szCs w:val="32"/>
      <w:lang w:val="en-US" w:eastAsia="zh-CN" w:bidi="ar-SA"/>
    </w:rPr>
  </w:style>
  <w:style w:type="paragraph" w:customStyle="1" w:styleId="31">
    <w:name w:val="标题3"/>
    <w:basedOn w:val="3"/>
    <w:link w:val="30"/>
    <w:uiPriority w:val="0"/>
    <w:pPr>
      <w:keepNext/>
      <w:keepLines/>
      <w:widowControl w:val="0"/>
      <w:spacing w:before="260" w:beforeLines="0" w:beforeAutospacing="0" w:after="260" w:afterLines="0" w:afterAutospacing="0" w:line="416" w:lineRule="auto"/>
      <w:jc w:val="both"/>
    </w:pPr>
    <w:rPr>
      <w:rFonts w:eastAsia="仿宋_GB2312"/>
      <w:kern w:val="2"/>
      <w:sz w:val="32"/>
      <w:szCs w:val="32"/>
      <w:lang w:val="en-US" w:eastAsia="zh-CN" w:bidi="ar-SA"/>
    </w:rPr>
  </w:style>
  <w:style w:type="paragraph" w:customStyle="1" w:styleId="32">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33">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34">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35">
    <w:name w:val="WPS Plain"/>
    <w:uiPriority w:val="0"/>
    <w:rPr>
      <w:lang w:val="en-US" w:eastAsia="zh-CN" w:bidi="ar-SA"/>
    </w:rPr>
  </w:style>
  <w:style w:type="paragraph" w:customStyle="1" w:styleId="36">
    <w:name w:val="无间隔3"/>
    <w:uiPriority w:val="0"/>
    <w:pPr>
      <w:adjustRightInd w:val="0"/>
      <w:snapToGrid w:val="0"/>
    </w:pPr>
    <w:rPr>
      <w:rFonts w:ascii="Tahoma" w:hAnsi="Tahoma" w:eastAsia="微软雅黑"/>
      <w:sz w:val="22"/>
      <w:szCs w:val="22"/>
      <w:lang w:val="en-US" w:eastAsia="zh-CN" w:bidi="ar-SA"/>
    </w:rPr>
  </w:style>
  <w:style w:type="paragraph" w:customStyle="1" w:styleId="37">
    <w:name w:val="正文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38">
    <w:name w:val="Char1"/>
    <w:basedOn w:val="4"/>
    <w:uiPriority w:val="0"/>
    <w:pPr>
      <w:widowControl/>
      <w:spacing w:after="160" w:afterLines="0" w:line="240" w:lineRule="exact"/>
      <w:ind w:left="1"/>
      <w:jc w:val="left"/>
      <w:textAlignment w:val="bottom"/>
    </w:pPr>
    <w:rPr>
      <w:rFonts w:ascii="Calibri" w:hAnsi="Calibri" w:cs="Calibri"/>
      <w:kern w:val="0"/>
      <w:sz w:val="24"/>
    </w:rPr>
  </w:style>
  <w:style w:type="paragraph" w:customStyle="1" w:styleId="39">
    <w:name w:val="p0"/>
    <w:basedOn w:val="1"/>
    <w:uiPriority w:val="0"/>
    <w:pPr>
      <w:widowControl/>
    </w:pPr>
    <w:rPr>
      <w:kern w:val="0"/>
      <w:szCs w:val="21"/>
    </w:rPr>
  </w:style>
  <w:style w:type="paragraph" w:customStyle="1" w:styleId="40">
    <w:name w:val="Char Char Char Char Char Char"/>
    <w:basedOn w:val="1"/>
    <w:uiPriority w:val="0"/>
    <w:rPr>
      <w:rFonts w:ascii="Calibri" w:hAnsi="Calibri" w:eastAsia="仿宋_GB2312" w:cs="Calibri"/>
      <w:sz w:val="32"/>
      <w:szCs w:val="32"/>
    </w:rPr>
  </w:style>
  <w:style w:type="paragraph" w:customStyle="1" w:styleId="41">
    <w:name w:val="无间隔2"/>
    <w:uiPriority w:val="0"/>
    <w:pPr>
      <w:adjustRightInd w:val="0"/>
      <w:snapToGrid w:val="0"/>
    </w:pPr>
    <w:rPr>
      <w:rFonts w:ascii="Tahoma" w:hAnsi="Tahoma" w:eastAsia="微软雅黑"/>
      <w:sz w:val="22"/>
      <w:szCs w:val="22"/>
      <w:lang w:val="en-US" w:eastAsia="zh-CN" w:bidi="ar-SA"/>
    </w:rPr>
  </w:style>
  <w:style w:type="paragraph" w:customStyle="1" w:styleId="42">
    <w:name w:val="无间隔1"/>
    <w:uiPriority w:val="0"/>
    <w:pPr>
      <w:adjustRightInd w:val="0"/>
      <w:snapToGrid w:val="0"/>
    </w:pPr>
    <w:rPr>
      <w:rFonts w:ascii="Tahoma" w:hAnsi="Tahoma" w:eastAsia="微软雅黑"/>
      <w:sz w:val="22"/>
      <w:szCs w:val="22"/>
      <w:lang w:val="en-US" w:eastAsia="zh-CN" w:bidi="ar-SA"/>
    </w:rPr>
  </w:style>
  <w:style w:type="paragraph" w:customStyle="1" w:styleId="43">
    <w:name w:val="Char1 Char Char Char"/>
    <w:basedOn w:val="1"/>
    <w:uiPriority w:val="0"/>
    <w:rPr>
      <w:sz w:val="32"/>
      <w:szCs w:val="32"/>
    </w:rPr>
  </w:style>
  <w:style w:type="paragraph" w:customStyle="1" w:styleId="44">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5">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46">
    <w:name w:val="正文 New New New New New New"/>
    <w:uiPriority w:val="0"/>
    <w:pPr>
      <w:widowControl w:val="0"/>
      <w:jc w:val="both"/>
    </w:pPr>
    <w:rPr>
      <w:kern w:val="2"/>
      <w:sz w:val="21"/>
      <w:szCs w:val="24"/>
      <w:lang w:val="en-US" w:eastAsia="zh-CN" w:bidi="ar-SA"/>
    </w:rPr>
  </w:style>
  <w:style w:type="paragraph" w:customStyle="1" w:styleId="47">
    <w:name w:val="正文 New"/>
    <w:uiPriority w:val="0"/>
    <w:pPr>
      <w:widowControl w:val="0"/>
      <w:jc w:val="both"/>
    </w:pPr>
    <w:rPr>
      <w:kern w:val="2"/>
      <w:sz w:val="21"/>
      <w:szCs w:val="24"/>
      <w:lang w:val="en-US" w:eastAsia="zh-CN" w:bidi="ar-SA"/>
    </w:rPr>
  </w:style>
  <w:style w:type="paragraph" w:customStyle="1" w:styleId="48">
    <w:name w:val="Char3"/>
    <w:basedOn w:val="1"/>
    <w:uiPriority w:val="0"/>
    <w:pPr>
      <w:widowControl/>
      <w:spacing w:after="160" w:afterLines="0" w:line="240" w:lineRule="exact"/>
      <w:jc w:val="left"/>
    </w:pPr>
    <w:rPr>
      <w:szCs w:val="20"/>
    </w:rPr>
  </w:style>
  <w:style w:type="paragraph" w:customStyle="1" w:styleId="49">
    <w:name w:val="正文 New New New New New New New New New New New New New New New New New New New New New New New New New New New New New"/>
    <w:uiPriority w:val="0"/>
    <w:pPr>
      <w:widowControl w:val="0"/>
      <w:jc w:val="both"/>
    </w:pPr>
    <w:rPr>
      <w:kern w:val="2"/>
      <w:sz w:val="21"/>
      <w:szCs w:val="22"/>
      <w:lang w:val="en-US" w:eastAsia="zh-CN" w:bidi="ar-SA"/>
    </w:rPr>
  </w:style>
  <w:style w:type="paragraph" w:customStyle="1" w:styleId="50">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51">
    <w:name w:val="普通(网站)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正文 New New New New New New New New"/>
    <w:uiPriority w:val="0"/>
    <w:pPr>
      <w:widowControl w:val="0"/>
      <w:jc w:val="both"/>
    </w:pPr>
    <w:rPr>
      <w:rFonts w:ascii="Calibri" w:hAnsi="Calibri" w:cs="Calibri"/>
      <w:kern w:val="2"/>
      <w:sz w:val="21"/>
      <w:szCs w:val="21"/>
      <w:lang w:val="en-US" w:eastAsia="zh-CN" w:bidi="ar-SA"/>
    </w:rPr>
  </w:style>
  <w:style w:type="paragraph" w:customStyle="1" w:styleId="53">
    <w:name w:val="p16"/>
    <w:basedOn w:val="1"/>
    <w:uiPriority w:val="0"/>
    <w:pPr>
      <w:widowControl/>
    </w:pPr>
    <w:rPr>
      <w:rFonts w:ascii="Calibri" w:hAnsi="Calibri" w:cs="宋体"/>
      <w:kern w:val="0"/>
      <w:szCs w:val="21"/>
    </w:rPr>
  </w:style>
  <w:style w:type="paragraph" w:customStyle="1" w:styleId="54">
    <w:name w:val="正文 New New New New New New New New New New New New New New New"/>
    <w:uiPriority w:val="0"/>
    <w:pPr>
      <w:widowControl w:val="0"/>
      <w:jc w:val="both"/>
    </w:pPr>
    <w:rPr>
      <w:rFonts w:ascii="Calibri" w:hAnsi="Calibri" w:cs="Calibri"/>
      <w:kern w:val="2"/>
      <w:sz w:val="21"/>
      <w:szCs w:val="21"/>
      <w:lang w:val="en-US" w:eastAsia="zh-CN" w:bidi="ar-SA"/>
    </w:rPr>
  </w:style>
  <w:style w:type="paragraph" w:customStyle="1" w:styleId="55">
    <w:name w:val="正文 New New New New New"/>
    <w:uiPriority w:val="0"/>
    <w:pPr>
      <w:widowControl w:val="0"/>
      <w:jc w:val="both"/>
    </w:pPr>
    <w:rPr>
      <w:kern w:val="2"/>
      <w:sz w:val="21"/>
      <w:szCs w:val="21"/>
      <w:lang w:val="en-US" w:eastAsia="zh-CN" w:bidi="ar-SA"/>
    </w:rPr>
  </w:style>
  <w:style w:type="paragraph" w:customStyle="1" w:styleId="56">
    <w:name w:val="正文 New New New New"/>
    <w:uiPriority w:val="0"/>
    <w:pPr>
      <w:widowControl w:val="0"/>
      <w:jc w:val="both"/>
    </w:pPr>
    <w:rPr>
      <w:rFonts w:ascii="Calibri" w:hAnsi="Calibri" w:cs="Calibri"/>
      <w:kern w:val="2"/>
      <w:sz w:val="21"/>
      <w:szCs w:val="21"/>
      <w:lang w:val="en-US" w:eastAsia="zh-CN" w:bidi="ar-SA"/>
    </w:rPr>
  </w:style>
  <w:style w:type="paragraph" w:customStyle="1" w:styleId="57">
    <w:name w:val="正文 New New New New New New New"/>
    <w:uiPriority w:val="0"/>
    <w:pPr>
      <w:widowControl w:val="0"/>
      <w:jc w:val="both"/>
    </w:pPr>
    <w:rPr>
      <w:rFonts w:ascii="Calibri" w:hAnsi="Calibri"/>
      <w:kern w:val="2"/>
      <w:sz w:val="21"/>
      <w:lang w:val="en-US" w:eastAsia="zh-CN" w:bidi="ar-SA"/>
    </w:rPr>
  </w:style>
  <w:style w:type="paragraph" w:customStyle="1" w:styleId="58">
    <w:name w:val="Normal"/>
    <w:uiPriority w:val="0"/>
    <w:pPr>
      <w:jc w:val="both"/>
    </w:pPr>
    <w:rPr>
      <w:rFonts w:ascii="Calibri" w:hAnsi="Calibri" w:cs="宋体"/>
      <w:kern w:val="2"/>
      <w:sz w:val="21"/>
      <w:szCs w:val="21"/>
      <w:lang w:val="en-US" w:eastAsia="zh-CN" w:bidi="ar-SA"/>
    </w:rPr>
  </w:style>
  <w:style w:type="paragraph" w:customStyle="1" w:styleId="59">
    <w:name w:val="列出段落"/>
    <w:basedOn w:val="1"/>
    <w:uiPriority w:val="0"/>
    <w:pPr>
      <w:ind w:firstLine="420" w:firstLineChars="200"/>
    </w:pPr>
    <w:rPr>
      <w:rFonts w:ascii="Calibri" w:hAnsi="Calibri" w:cs="Calibri"/>
      <w:szCs w:val="21"/>
    </w:rPr>
  </w:style>
  <w:style w:type="paragraph" w:customStyle="1" w:styleId="60">
    <w:name w:val="正文 New New New"/>
    <w:uiPriority w:val="0"/>
    <w:pPr>
      <w:widowControl w:val="0"/>
      <w:jc w:val="both"/>
    </w:pPr>
    <w:rPr>
      <w:rFonts w:ascii="Calibri" w:hAnsi="Calibri"/>
      <w:kern w:val="2"/>
      <w:sz w:val="21"/>
      <w:szCs w:val="24"/>
      <w:lang w:val="en-US" w:eastAsia="zh-CN" w:bidi="ar-SA"/>
    </w:rPr>
  </w:style>
  <w:style w:type="character" w:customStyle="1" w:styleId="61">
    <w:name w:val="font31"/>
    <w:basedOn w:val="19"/>
    <w:uiPriority w:val="0"/>
    <w:rPr>
      <w:rFonts w:hint="eastAsia" w:ascii="黑体" w:hAnsi="宋体" w:eastAsia="黑体" w:cs="黑体"/>
      <w:b/>
      <w:color w:val="000000"/>
      <w:sz w:val="22"/>
      <w:szCs w:val="22"/>
      <w:u w:val="none"/>
    </w:rPr>
  </w:style>
  <w:style w:type="character" w:customStyle="1" w:styleId="62">
    <w:name w:val="font11"/>
    <w:basedOn w:val="19"/>
    <w:uiPriority w:val="0"/>
    <w:rPr>
      <w:rFonts w:hint="eastAsia" w:ascii="仿宋" w:hAnsi="仿宋" w:eastAsia="仿宋" w:cs="仿宋"/>
      <w:b/>
      <w:color w:val="000000"/>
      <w:sz w:val="24"/>
      <w:szCs w:val="24"/>
      <w:u w:val="none"/>
    </w:rPr>
  </w:style>
  <w:style w:type="character" w:customStyle="1" w:styleId="63">
    <w:name w:val="font21"/>
    <w:basedOn w:val="19"/>
    <w:uiPriority w:val="0"/>
    <w:rPr>
      <w:rFonts w:hint="eastAsia" w:ascii="仿宋" w:hAnsi="仿宋" w:eastAsia="仿宋" w:cs="仿宋"/>
      <w:color w:val="000000"/>
      <w:sz w:val="24"/>
      <w:szCs w:val="24"/>
      <w:u w:val="none"/>
    </w:rPr>
  </w:style>
  <w:style w:type="paragraph" w:customStyle="1" w:styleId="6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5">
    <w:name w:val="样式 首行缩进:  2 字符"/>
    <w:basedOn w:val="1"/>
    <w:uiPriority w:val="0"/>
    <w:pPr>
      <w:ind w:firstLine="560"/>
    </w:pPr>
    <w:rPr>
      <w:rFonts w:eastAsia="仿宋_GB2312" w:cs="宋体"/>
      <w:sz w:val="24"/>
      <w:szCs w:val="20"/>
    </w:rPr>
  </w:style>
  <w:style w:type="paragraph" w:customStyle="1" w:styleId="66">
    <w:name w:val="正文 New New New New New New New New New New New New New New New New New New New New New New"/>
    <w:uiPriority w:val="0"/>
    <w:pPr>
      <w:widowControl w:val="0"/>
      <w:jc w:val="both"/>
    </w:pPr>
    <w:rPr>
      <w:kern w:val="2"/>
      <w:sz w:val="21"/>
      <w:szCs w:val="22"/>
      <w:lang w:val="en-US" w:eastAsia="zh-CN" w:bidi="ar-SA"/>
    </w:rPr>
  </w:style>
  <w:style w:type="character" w:customStyle="1" w:styleId="67">
    <w:name w:val="font41"/>
    <w:basedOn w:val="19"/>
    <w:uiPriority w:val="0"/>
    <w:rPr>
      <w:rFonts w:hint="default" w:ascii="Times New Roman" w:hAnsi="Times New Roman" w:cs="Times New Roman"/>
      <w:color w:val="000000"/>
      <w:sz w:val="24"/>
      <w:szCs w:val="24"/>
      <w:u w:val="none"/>
    </w:rPr>
  </w:style>
  <w:style w:type="character" w:customStyle="1" w:styleId="68">
    <w:name w:val="font51"/>
    <w:basedOn w:val="19"/>
    <w:uiPriority w:val="0"/>
    <w:rPr>
      <w:rFonts w:hint="eastAsia" w:ascii="宋体" w:hAnsi="宋体" w:eastAsia="宋体" w:cs="宋体"/>
      <w:color w:val="000000"/>
      <w:sz w:val="24"/>
      <w:szCs w:val="24"/>
      <w:u w:val="none"/>
    </w:rPr>
  </w:style>
  <w:style w:type="character" w:customStyle="1" w:styleId="69">
    <w:name w:val="font01"/>
    <w:basedOn w:val="19"/>
    <w:uiPriority w:val="0"/>
    <w:rPr>
      <w:rFonts w:hint="eastAsia" w:ascii="仿宋_GB2312" w:eastAsia="仿宋_GB2312" w:cs="仿宋_GB2312"/>
      <w:color w:val="000000"/>
      <w:sz w:val="24"/>
      <w:szCs w:val="24"/>
      <w:u w:val="none"/>
    </w:rPr>
  </w:style>
  <w:style w:type="character" w:customStyle="1" w:styleId="70">
    <w:name w:val="font71"/>
    <w:basedOn w:val="19"/>
    <w:uiPriority w:val="0"/>
    <w:rPr>
      <w:rFonts w:hint="default" w:ascii="Times New Roman" w:hAnsi="Times New Roman" w:cs="Times New Roman"/>
      <w:color w:val="000000"/>
      <w:sz w:val="24"/>
      <w:szCs w:val="24"/>
      <w:u w:val="none"/>
    </w:rPr>
  </w:style>
  <w:style w:type="character" w:customStyle="1" w:styleId="71">
    <w:name w:val="font101"/>
    <w:basedOn w:val="19"/>
    <w:uiPriority w:val="0"/>
    <w:rPr>
      <w:rFonts w:hint="default" w:ascii="Times New Roman" w:hAnsi="Times New Roman" w:cs="Times New Roman"/>
      <w:color w:val="000000"/>
      <w:sz w:val="24"/>
      <w:szCs w:val="24"/>
      <w:u w:val="none"/>
      <w:vertAlign w:val="superscript"/>
    </w:rPr>
  </w:style>
  <w:style w:type="character" w:customStyle="1" w:styleId="72">
    <w:name w:val="font81"/>
    <w:basedOn w:val="19"/>
    <w:uiPriority w:val="0"/>
    <w:rPr>
      <w:rFonts w:hint="eastAsia" w:ascii="仿宋_GB2312" w:eastAsia="仿宋_GB2312" w:cs="仿宋_GB2312"/>
      <w:color w:val="000000"/>
      <w:sz w:val="24"/>
      <w:szCs w:val="24"/>
      <w:u w:val="none"/>
    </w:rPr>
  </w:style>
  <w:style w:type="character" w:customStyle="1" w:styleId="73">
    <w:name w:val="font112"/>
    <w:basedOn w:val="19"/>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687</Words>
  <Characters>3920</Characters>
  <Lines>32</Lines>
  <Paragraphs>9</Paragraphs>
  <TotalTime>0</TotalTime>
  <ScaleCrop>false</ScaleCrop>
  <LinksUpToDate>false</LinksUpToDate>
  <CharactersWithSpaces>4598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2019-05-27T15:29:00Z</dcterms:created>
  <dc:creator>user_common</dc:creator>
  <cp:lastModifiedBy>独身仙子</cp:lastModifiedBy>
  <cp:lastPrinted>2019-05-28T10:17:00Z</cp:lastPrinted>
  <dcterms:modified xsi:type="dcterms:W3CDTF">2023-10-25T10:50:16Z</dcterms:modified>
  <dc:title>淄博市周村区人民政府文件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