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周村区人民政府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关于印发周村区2023年国民经济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和社会发展计划的通知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周政发〔2023〕3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各镇政府、街道办事处，周村经济开发区管委会，区政府各部门，有关单位：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《周村区202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年国民经济和社会发展计划》已经周村区第十九届人民代表大会第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次会议批准，现印发给你们，请认真组织实施。</w:t>
      </w:r>
    </w:p>
    <w:p>
      <w:pPr>
        <w:spacing w:line="5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1424" w:rightChars="678" w:firstLine="960" w:firstLineChars="3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周村区人民政府</w:t>
      </w:r>
    </w:p>
    <w:p>
      <w:pPr>
        <w:widowControl/>
        <w:spacing w:line="560" w:lineRule="exact"/>
        <w:ind w:right="1270" w:rightChars="605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2023年4月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eastAsia="zh-CN"/>
        </w:rPr>
        <w:t>周村区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2023年国民经济和社会发展计划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2023年经济社会发展的总体要求和预期目标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做好2023年工作，要深入学习贯彻党的二十大精神，坚持以习近平新时代中国特色社会主义思想为指导，以推动高质量发展为主题，把握新发展阶段，贯彻新发展理念，服务新发展格局，牢牢把握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“稳中求进”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工作总基调，聚焦奋力推进“品质活力、强富美优”幸福周村现代化建设这一目标，坚持济淄同城先行区、张周一体示范区“两区同创”，全力答好区域融合、产业转型、城市建设、乡村振兴、改革创新、品质民生六张时代新答卷！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全区经济社会发展主要预期目标建议为：地区生产总值增长5.5%左右；一般公共预算收入增长5%以上；固定资产投资增长8%以上；社会消费品零售总额增长5%以上，外贸进出口总额和实际使用外资保持稳定增长，居民人均可支配收入增长5.5%以上，全面完成省市下达的节能减排约束性指标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highlight w:val="none"/>
          <w:lang w:val="en-US" w:eastAsia="zh-CN"/>
        </w:rPr>
        <w:t>二、2023年经济社会发展重点工作任务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（一）聚力推进经济健康运行工程，按下高质量发展“快进键”。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全力以赴扩大有效投资。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坚持集群化、高端化、智能化、绿色化发展方向，全面落实组合式减税降费、财政贴息、风险补偿、担保费补助等政策包。聚焦“内生外引”双向发力，“向内”支持本地优质企业盘活闲置低效用地新上项目，加快发展，“向外”坚持以商招商、产业链招商、园区招商，招引一批优质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突出抓好总投资394.3亿元的93个区重点项目（含文昌湖31个、总投资122.3亿元），46个市重大项目（含文昌湖7个）、8个省级重点项目（含文昌湖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个），确保项目开工率、年度投资完成率“两个100%”。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抓好对上争取与招商引资，加强政府专项债、中央、省预算内投资、政策性开发性金融工具、制造业中长期贷款等资金争取，为项目建设和企业发展提供更多资金支持，力争省外到位资金50亿元以上，新引进过亿元项目30个以上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千方百计促进消费回暖。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举办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惠民消费季、家电消费节、家居节等促消费活动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进一步提振消费市场活力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优化发展预制食品产业，加快推进米特加、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莎家邦起运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等项目建设，做大做强头部企业群体，积极招引国内预制菜龙头企业落户我区，加快推动产业集群发展。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在以古商城、盛世·活力城等夜间经济核心区引领下，扎实推进新城吾悦广场建设，为夜间经济发展提供更多载体。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不遗余力稳定外资外贸。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培育一批具备国际市场竞争力和市场占有率的外贸领军企业和品牌，新增外贸进出口企业20家以上。打造省级跨境电子商务园1处、新入驻跨境电商企业10家以上。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（二）聚力推进区域经济融合工程，掌握新发展格局“主动权”。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主动融入国家黄河流域生态保护和高质量发展战略、全省建设绿色低碳高质量发展先行区发展大局，加速推进济淄同城先行区、张周一体示范区建设。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向西，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扎实推进新材料产业园扩区扩容，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新上安泽光伏制氢及综合能源港、苏科新材料科创港、一汽（淄博）汽车零部件产业园等重点项目。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配合做好经十路东延工程，加速链接驻济高校、科研院所创新资源，与章丘区深化“章周同城·文旅先行”战略合作。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向东，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加强大学城与淄博新区统筹融合，打造城市会客厅、核心CBD，实施广州路延伸通达工程，建成联通路孝妇河大桥。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加快中国电子服务型制造产业示范园、淄博职业学院淄博装备智能制造实训基地、安澜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5G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通讯等项目建设。立足大学城科教资源，不断提升大学城创业创新产业园、山东理工大学科技园研发孵化能力。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向南，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形成与文昌湖的系统衔接，着力打造南部新城，积极做好明阳路周隆路至庆淄路段、东门路南延工程手续办理，织密与文昌湖的快速连接线，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进一步完善古商城、文昌湖之间的旅游线路，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统筹抓好周村与文昌湖教育、医疗、康养等公共服务资源配给，推动公共服务同步均衡发展。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1"/>
          <w:szCs w:val="31"/>
          <w:highlight w:val="none"/>
          <w:lang w:val="en-US" w:eastAsia="zh-CN" w:bidi="ar"/>
        </w:rPr>
        <w:t>向北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，推动周村经济开发区与大学城联动发展，统筹做好陈桥路东延、礼官路西延、人才公寓支路等项目配套道路建设，全面启用周村经济开发区创业创新中心，坚持产城一体、错位互补发展，全面提升城市综合承载力、聚集吸引力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（三）聚力推进产业能级提升工程，跑出动能转换“加速度”。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抢抓省绿色低碳高质量发展先行区建设重大机遇，持续做好“优存量”“扩增量”两篇文章，加快推进新旧动能转换。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释放科技创新源动力。</w:t>
      </w:r>
      <w:r>
        <w:rPr>
          <w:rFonts w:hint="default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做好从“育种蹲苗”到“插柳成荫”梯次培育，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高新技术企业新增14家（含文昌湖4家），全社会研发经费支出占GDP比重</w:t>
      </w:r>
      <w:r>
        <w:rPr>
          <w:rFonts w:hint="default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达到3%左右，加速高新技术产业发展。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"/>
        </w:rPr>
        <w:t>支持企业与高校院所共建具有产业引领作用的市级以上创新平台9家。</w:t>
      </w:r>
      <w:r>
        <w:rPr>
          <w:rFonts w:hint="default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推行“揭榜挂帅”制，打好关键核心技术攻坚战，紧盯制约产业发展的“卡链点”“断链处”，坚持自主研发与成果引进相结合，对上争取一批省市级重大专项。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highlight w:val="none"/>
          <w:lang w:val="en-US" w:eastAsia="zh-CN"/>
        </w:rPr>
        <w:t>壮大产业链群新动能。</w:t>
      </w:r>
      <w:r>
        <w:rPr>
          <w:rFonts w:hint="default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深化产业赋能，加快“四强”产业攀登，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44"/>
          <w:sz w:val="32"/>
          <w:szCs w:val="32"/>
          <w:highlight w:val="none"/>
          <w:lang w:val="en-US" w:eastAsia="zh-CN" w:bidi="ar-SA"/>
        </w:rPr>
        <w:t>全面落实数字化“千项技改、千企转型”工程，</w:t>
      </w:r>
      <w:r>
        <w:rPr>
          <w:rFonts w:hint="default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鼓励支持企业采用新工艺、新技术、新设备，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新实施重点技改项目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114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个以上（含文昌湖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个），力争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42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个项目（含文昌湖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个）列入市重点技改项目，</w:t>
      </w:r>
      <w:r>
        <w:rPr>
          <w:rFonts w:hint="default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确保规模以上工业企业技术改造覆盖面达到100%。聚焦“文旅产业+‘1+3+4’八条重点产业链”现代产业体系，精心谋划实施重点项目，推动产业链式集群发展。建立完善“微成长、小升高、高变强”企业培育梯队，支持企业装备换芯、生产换线、机器换人，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力争新培育专精特新企业10家以上、瞪羚企业5家以上。</w:t>
      </w:r>
      <w:r>
        <w:rPr>
          <w:rFonts w:hint="default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加快推动不锈钢产业园、新材料产业园等园区建设，打造互联共生、创新活跃的产业发展生态。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highlight w:val="none"/>
          <w:lang w:val="en-US" w:eastAsia="zh-CN"/>
        </w:rPr>
        <w:t>开辟数字经济新赛道。</w:t>
      </w:r>
      <w:r>
        <w:rPr>
          <w:rFonts w:hint="default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坚持数字赋能、创新赋能、平台赋能，开辟新场景、营造新业态、畅通新赛道，深耕新经济“沃土”，推动工业互联网、电商与智慧物流等产业发展壮大。实施数字经济“倍增工程”，优化数字园区、5G基站等数字基础设施布局，做大做强做优物联网、大数据、云计算等数字产业，力争培育新一代信息技术先进应用场景4个。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highlight w:val="none"/>
          <w:lang w:val="en-US" w:eastAsia="zh-CN"/>
        </w:rPr>
        <w:t>培育服务业发展新优势。</w:t>
      </w:r>
      <w:r>
        <w:rPr>
          <w:rFonts w:hint="default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大力发展高端生产性服务业，重点发展高品质生活性服务业，创新发展新兴服务业，培育壮大农村服务业，积极发展现代物流业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。加快实施希尔顿国际广场等11个市级服务业重点项目和万创绿色智慧·综合枢纽物流园区等3个市级物流重点项目。</w:t>
      </w:r>
      <w:r>
        <w:rPr>
          <w:rFonts w:hint="default" w:ascii="Times New Roman" w:hAnsi="Times New Roman" w:eastAsia="仿宋_GB2312" w:cs="Times New Roman"/>
          <w:spacing w:val="0"/>
          <w:sz w:val="32"/>
          <w:szCs w:val="40"/>
          <w:highlight w:val="none"/>
          <w:lang w:val="en-US" w:eastAsia="zh-CN"/>
        </w:rPr>
        <w:t>探索建立重点产业链、产业园区融资需求快速响应机制，力争金润德在新三板晋层、利尔新材料在新三板挂牌，启动兴鲁生物、才聚电子新三板挂牌程序。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（四）聚力推进精致城市建设工程，构建城市发展“新格局”。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24"/>
          <w:highlight w:val="none"/>
          <w:lang w:val="en-US" w:eastAsia="zh-CN" w:bidi="ar-SA"/>
        </w:rPr>
        <w:t>畅通城市“脉络”。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24"/>
          <w:highlight w:val="none"/>
          <w:lang w:val="en-US" w:eastAsia="zh-CN" w:bidi="ar-SA"/>
        </w:rPr>
        <w:t>启动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u w:val="none"/>
          <w:lang w:val="en-US" w:eastAsia="zh-CN"/>
        </w:rPr>
        <w:t>胶济客专周村东站建设，构建以滨莱、济青高速为主线的高速公路网和以济青高铁、胶济铁路、胶济客专为主线的铁路网。抓好经十路东延周村段、济潍高速岭子连接线建设，加快明阳路工程项目推进，配合做好快速路、新大外环工程建设，提升城市交通品质。持续优化公交线路，打造“连接城乡、直通景点”的“公交+文旅”服务模式。加快现代水网建设，推进实施涿河淦河水生态整治等一批防洪提升、供水保障、水生态修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与保护、水系联通等重点基础设施建设项目。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  <w:t>提升城市“颜值”。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积极推进周隆路城市化综合提升工程，启动实施人民广场提升改造，新建、提升改造2-3处街角游园、口袋公园。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深化城乡环境大整治精细管理大提升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，持续推行“全民城管”机制。探索“互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联网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+资源回收”模式，推动可回收物和专业垃圾规范化、专业化处理。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推进城市绿道、生态廊道建设，打造景城相融的城市新景观，着力构建“一带、双环、四组团”的全域公园城市格局。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完成城市防洪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u w:val="none"/>
          <w:lang w:val="en-US" w:eastAsia="zh-CN"/>
        </w:rPr>
        <w:t>排涝专项规划编制和城区主要内涝点的整治改造，提升排水防涝和安全度汛能力。深入实施安居工程，对10个老旧小区、2条背街小巷进行升级改造，开工建设大伙巷等棚户区改造项目。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24"/>
          <w:highlight w:val="none"/>
          <w:lang w:val="en-US" w:eastAsia="zh-CN" w:bidi="ar-SA"/>
        </w:rPr>
        <w:t>涵养城市“气质”。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积极推进周村古商城国家5A级旅游景区创建，加快推动齐文化传承示范区建设，开工文昌湖文化中心及旅游设施建设项目。实施乡村旅游精品工程，推进王村镇宁家村和苏李村景区化建设，推广韩家窝村精品民宿。助推福王红木博物馆创建研学旅行和工业旅游示范基地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实施国民体质监测行动，加强体育场地设施管理维护，策划举办好竞技体育和群众体育赛事活动，积极构建更高水平的全民健身公共服务体系。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（五）聚力推进绿色低碳转型工程，展现生态环境“好风光”。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坚持精准治污、科学治污、依法治污，持续深入打好蓝天、碧水、净土保卫战。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highlight w:val="none"/>
          <w:lang w:val="en-US" w:eastAsia="zh-CN"/>
        </w:rPr>
        <w:t>一是精准治气。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深入实施新一轮“四减四增”行动，持续深化涉VOCs、煤电、化工等重点行业治理提升。在城区东、西、南部全部配建新型能源港，开工建设瑞光数联光伏项目。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加强空气质量管控，优良天数达到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24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天。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highlight w:val="none"/>
          <w:lang w:val="en-US" w:eastAsia="zh-CN"/>
        </w:rPr>
        <w:t>二是高效治水。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集中开展城市积水点整治和黑臭水体清零。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实施孝妇河生态补水工程，建成总投资6.5亿元的周村区水生态环境建设与保护提升工程，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 w:bidi="ar-SA"/>
        </w:rPr>
        <w:t>强化河道治理管控，确保国控断面水质稳定达到Ⅲ类标准。完成4.5公里雨污管网改造，建成区全部实现雨污分流，农村生活污水治理基本完成。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三是清废治土。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深入落实土壤与固危废管控措施，加快受污染地块安全利用治理修复，积极建设“无废城市”，深入推进“黄河清废”行动，扎实推进一般工业固体废物和危险废物整治五年行动计划，实现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 w:bidi="ar-SA"/>
        </w:rPr>
        <w:t>重点建设用地安全利用率保持100%。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（六）聚力推进现代农业创新工程，结出乡村振兴“新硕果”。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推进数字农业建设。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以“六山一台”现代农业产业园等项目建设为平台，加快推进悠乐滋、七河生物等重点农业产业项目建设。深入实施藏粮于地、藏粮于技战略，提高农业良种化水平。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建设美丽乡村。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建成凤凰山乡村振兴精品片区，形成集农旅融合、田园观光和数字农业一体的现代化示范区。持续开展农村人居环境整治大会战行动，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力争实现国家卫生乡镇、省级卫生村全覆盖，新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打造省级美丽乡村2个。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（七）聚力推进改革成效深化工程，提升营商环境“软实力”。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深化重点领域改革。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纵深推进重点领域集成改革，全面推动国有企业实体化运营，提高国有资本运营效益。实施金融改革，强化信贷支持，重点围绕重大项目、绿色低碳发展、乡村振兴等领域，构建金融有效支持实体经济发展的体制机制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持续优化营商环境。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实施“一号改革工程”，深化“以评促转”试点，确保我区营商环境走在全市前列。持续推进服务态度、服务场所、服务流程的“三个规范化标准化”建设，推行“一窗受理”服务模式，设置无差别综合服务窗口。深入推进“齐好办·项目管家”镇（街道）工作室“一对一”服务，全程跟进项目推进情况，实现手续办理环环相扣、无缝衔接。持续推进工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建设项目人防类审批服务事项全流程“十个合并”改革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丰富电子证照应用场景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坚持需求导向，持续提升企业群众办事体验。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（八）聚力推进优质民生供给工程，亮出民生实事“成绩单”。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持续强化社会保障。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实施就业优先战略，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4"/>
          <w:sz w:val="32"/>
          <w:szCs w:val="32"/>
          <w:highlight w:val="none"/>
          <w:lang w:val="en-US" w:eastAsia="zh-CN" w:bidi="ar-SA"/>
        </w:rPr>
        <w:t>开展线上线下“直通院系”“直达人群”精准招聘，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推进城乡公益性岗位扩容提质，新增城镇就业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4000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以上。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落实创业担保贷款及贴息政策，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发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24"/>
          <w:sz w:val="32"/>
          <w:szCs w:val="32"/>
          <w:highlight w:val="none"/>
          <w:lang w:val="en-US" w:eastAsia="zh-CN" w:bidi="ar-SA"/>
        </w:rPr>
        <w:t>放创业担保贷款4000万元以上。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持续开展养老服务品质提升三年攻坚行动，加大养老服务设施有效供给，建设20处以上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幸福院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，基本实现全区“长者食堂”全覆盖。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2000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名残疾人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实施精准康复服务。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推进周村特困供养中心、胜利锦阳医养中心建设，建成青年路街道社区卫生服务中心“医办养”项目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继续深入推进紧密型医共体建设，加快商家镇卫生院、周村经济开发区卫生院医疗养老综合体等项目建设。积极提高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齐惠保参保面，发挥好社会商业险重大补充保障。职工门诊统筹保障由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1500元提高到3000元，门诊就医报销由一级医院扩大到二、三级医院。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大力发展文体事业。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加快山东轻工职业学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"/>
        </w:rPr>
        <w:t>院文昌湖校区、周村一中建设，完成凤鸣小学改扩建主体工程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健全幼儿园镇村一体化管理机制，增加公办幼儿园学位供给，启动学前教育普及普惠区建设。深入推进教育集团化办学，深化教师评价改革，完善职普融通、中高职贯通人才培养模式，积极申报山东省职业教育改革发展成效明显区，打造职业教育创新发展高地。全面提升教育教学质量，争创全市首批全国义务教育优质均衡发展区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健全公共文化服务体系，建设基层“5+N”示范点5处、城市书房1处、农家书屋提质增效点5处、书香淄博阅读吧5处，丰富群众文化生活，全年免费为群众送戏200场，为农村放映公益电影1680场。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筑牢安全发展底线。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以打造最有安全感的城市为目标，持续推进“更宽领域、更具深度、更加稳固、更有韧性、更有温度”的平安周村建设。加快完善风险监测预警信息化建设，着力提升防范化解重大风险能力，坚决守牢粮食、能源、产业链供应链、金融、安全生产、食品药品、意识形态等“一排底线”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持续提升安全生产防控能力和应急处置能力，推动安全生产事故起数和死亡人数“双下降”。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加大应急救援、演练、物资储备能力，建成社区应急救援站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7个。加强政务诚信制度化建设，优化“营商环境监督员”“政务服务体验官”制度，以“亲清指数”提升“发展指数”。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附件：周村区2023年国民经济和社会发展指导计划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eastAsia="黑体" w:cs="Times New Roman"/>
          <w:color w:val="231F20"/>
          <w:spacing w:val="0"/>
          <w:position w:val="0"/>
          <w:sz w:val="32"/>
          <w:szCs w:val="29"/>
        </w:rPr>
      </w:pPr>
    </w:p>
    <w:p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eastAsia="黑体" w:cs="Times New Roman"/>
          <w:color w:val="231F20"/>
          <w:spacing w:val="0"/>
          <w:position w:val="0"/>
          <w:sz w:val="32"/>
          <w:szCs w:val="29"/>
        </w:rPr>
      </w:pPr>
    </w:p>
    <w:p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eastAsia="黑体" w:cs="Times New Roman"/>
          <w:color w:val="231F20"/>
          <w:spacing w:val="0"/>
          <w:position w:val="0"/>
          <w:sz w:val="32"/>
          <w:szCs w:val="29"/>
        </w:rPr>
      </w:pPr>
    </w:p>
    <w:p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eastAsia="黑体" w:cs="Times New Roman"/>
          <w:color w:val="231F20"/>
          <w:spacing w:val="0"/>
          <w:position w:val="0"/>
          <w:sz w:val="32"/>
          <w:szCs w:val="29"/>
        </w:rPr>
      </w:pPr>
    </w:p>
    <w:p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eastAsia="黑体" w:cs="Times New Roman"/>
          <w:color w:val="231F20"/>
          <w:spacing w:val="0"/>
          <w:position w:val="0"/>
          <w:sz w:val="32"/>
          <w:szCs w:val="29"/>
        </w:rPr>
      </w:pPr>
    </w:p>
    <w:p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eastAsia="黑体" w:cs="Times New Roman"/>
          <w:color w:val="231F20"/>
          <w:spacing w:val="0"/>
          <w:position w:val="0"/>
          <w:sz w:val="32"/>
          <w:szCs w:val="29"/>
        </w:rPr>
      </w:pPr>
    </w:p>
    <w:p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eastAsia="黑体" w:cs="Times New Roman"/>
          <w:color w:val="231F20"/>
          <w:spacing w:val="0"/>
          <w:position w:val="0"/>
          <w:sz w:val="32"/>
          <w:szCs w:val="29"/>
        </w:rPr>
      </w:pPr>
      <w:r>
        <w:rPr>
          <w:rFonts w:hint="default" w:ascii="Times New Roman" w:hAnsi="Times New Roman" w:eastAsia="黑体" w:cs="Times New Roman"/>
          <w:color w:val="231F20"/>
          <w:spacing w:val="0"/>
          <w:position w:val="0"/>
          <w:sz w:val="32"/>
          <w:szCs w:val="29"/>
        </w:rPr>
        <w:t>附件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exact"/>
        <w:ind w:left="0" w:leftChars="0" w:right="0" w:rightChars="0" w:firstLine="705" w:firstLineChars="0"/>
        <w:jc w:val="both"/>
        <w:textAlignment w:val="auto"/>
        <w:outlineLvl w:val="9"/>
        <w:rPr>
          <w:rFonts w:hint="default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color w:val="231F20"/>
          <w:spacing w:val="0"/>
          <w:positio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231F20"/>
          <w:spacing w:val="0"/>
          <w:position w:val="0"/>
          <w:sz w:val="44"/>
          <w:szCs w:val="44"/>
          <w:lang w:val="en-US" w:eastAsia="zh-CN"/>
        </w:rPr>
        <w:t>周村区</w:t>
      </w:r>
      <w:r>
        <w:rPr>
          <w:rFonts w:hint="default" w:ascii="Times New Roman" w:hAnsi="Times New Roman" w:eastAsia="方正小标宋简体" w:cs="Times New Roman"/>
          <w:color w:val="231F20"/>
          <w:spacing w:val="0"/>
          <w:position w:val="0"/>
          <w:sz w:val="44"/>
          <w:szCs w:val="44"/>
        </w:rPr>
        <w:t>2023年国民经济和社会发展</w:t>
      </w:r>
      <w:r>
        <w:rPr>
          <w:rFonts w:hint="default" w:ascii="Times New Roman" w:hAnsi="Times New Roman" w:eastAsia="方正小标宋简体" w:cs="Times New Roman"/>
          <w:color w:val="231F20"/>
          <w:spacing w:val="0"/>
          <w:position w:val="0"/>
          <w:sz w:val="44"/>
          <w:szCs w:val="44"/>
          <w:lang w:eastAsia="zh-CN"/>
        </w:rPr>
        <w:t>指导计划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exact"/>
        <w:ind w:left="0" w:leftChars="0" w:right="0" w:rightChars="0" w:firstLine="705" w:firstLineChars="0"/>
        <w:jc w:val="both"/>
        <w:textAlignment w:val="auto"/>
        <w:outlineLvl w:val="9"/>
        <w:rPr>
          <w:rFonts w:hint="default"/>
        </w:rPr>
      </w:pPr>
    </w:p>
    <w:tbl>
      <w:tblPr>
        <w:tblStyle w:val="4"/>
        <w:tblW w:w="0" w:type="auto"/>
        <w:jc w:val="center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8"/>
        <w:gridCol w:w="768"/>
        <w:gridCol w:w="1506"/>
        <w:gridCol w:w="1213"/>
        <w:gridCol w:w="1566"/>
        <w:gridCol w:w="1056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vMerge w:val="restart"/>
            <w:tcBorders>
              <w:left w:val="nil"/>
              <w:bottom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231F20"/>
                <w:spacing w:val="0"/>
                <w:position w:val="0"/>
                <w:sz w:val="20"/>
                <w:szCs w:val="20"/>
              </w:rPr>
              <w:t>指标名称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231F20"/>
                <w:spacing w:val="0"/>
                <w:position w:val="0"/>
                <w:sz w:val="20"/>
                <w:szCs w:val="20"/>
              </w:rPr>
              <w:t>单位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231F20"/>
                <w:spacing w:val="0"/>
                <w:position w:val="0"/>
                <w:sz w:val="20"/>
                <w:szCs w:val="20"/>
              </w:rPr>
              <w:t>2022年完成</w:t>
            </w:r>
          </w:p>
        </w:tc>
        <w:tc>
          <w:tcPr>
            <w:tcW w:w="262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231F20"/>
                <w:spacing w:val="0"/>
                <w:position w:val="0"/>
                <w:sz w:val="20"/>
                <w:szCs w:val="20"/>
              </w:rPr>
              <w:t>2023年预期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76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231F20"/>
                <w:spacing w:val="0"/>
                <w:position w:val="0"/>
                <w:sz w:val="20"/>
                <w:szCs w:val="20"/>
              </w:rPr>
              <w:t>绝对值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231F20"/>
                <w:spacing w:val="0"/>
                <w:position w:val="0"/>
                <w:sz w:val="20"/>
                <w:szCs w:val="20"/>
              </w:rPr>
              <w:t>增长%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231F20"/>
                <w:spacing w:val="0"/>
                <w:position w:val="0"/>
                <w:sz w:val="20"/>
                <w:szCs w:val="20"/>
              </w:rPr>
              <w:t>绝对值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231F20"/>
                <w:spacing w:val="0"/>
                <w:position w:val="0"/>
                <w:sz w:val="20"/>
                <w:szCs w:val="20"/>
              </w:rPr>
              <w:t>增长%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lang w:eastAsia="zh-CN"/>
              </w:rPr>
              <w:t>一、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地区生产总值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亿元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251.2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2.3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—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lang w:val="en-US" w:eastAsia="zh-CN"/>
              </w:rPr>
              <w:t>5.5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规模以上工业增加值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亿元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—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-1.8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—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服务业增加值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亿元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lang w:val="en-US" w:eastAsia="zh-CN"/>
              </w:rPr>
              <w:t>132.7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lang w:val="en-US" w:eastAsia="zh-CN"/>
              </w:rPr>
              <w:t>3.7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lang w:val="en-US" w:eastAsia="zh-CN"/>
              </w:rPr>
              <w:t>139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lang w:val="en-US" w:eastAsia="zh-CN"/>
              </w:rPr>
              <w:t>5.8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</w:rPr>
              <w:t>"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四新</w:t>
            </w: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</w:rPr>
              <w:t>"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经济增加值占比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</w:rPr>
              <w:t>%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43.3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0.84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44.3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二</w:t>
            </w: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固定资产投资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亿元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152.7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22.7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165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highlight w:val="none"/>
              </w:rPr>
              <w:t>三</w:t>
            </w: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highlight w:val="none"/>
              </w:rPr>
              <w:t>社会消费品零售总额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71.05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-2.3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76.02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5.0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highlight w:val="none"/>
              </w:rPr>
              <w:t>四</w:t>
            </w: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highlight w:val="none"/>
              </w:rPr>
              <w:t>外经外贸</w:t>
            </w:r>
          </w:p>
        </w:tc>
        <w:tc>
          <w:tcPr>
            <w:tcW w:w="6109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0"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highlight w:val="none"/>
              </w:rPr>
              <w:t>实际使用外资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0"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highlight w:val="none"/>
              </w:rPr>
              <w:t>亿美元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19"/>
                <w:szCs w:val="19"/>
                <w:highlight w:val="none"/>
                <w:lang w:val="en-US" w:eastAsia="zh-CN"/>
              </w:rPr>
              <w:t>0.1139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19"/>
                <w:szCs w:val="19"/>
                <w:highlight w:val="none"/>
                <w:lang w:val="en-US" w:eastAsia="zh-CN"/>
              </w:rPr>
              <w:t>-64.8</w:t>
            </w:r>
          </w:p>
        </w:tc>
        <w:tc>
          <w:tcPr>
            <w:tcW w:w="2622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19"/>
                <w:szCs w:val="19"/>
                <w:lang w:val="en-US" w:eastAsia="zh-CN"/>
              </w:rPr>
              <w:t>保持稳定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0"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highlight w:val="none"/>
              </w:rPr>
              <w:t>进出口总额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0"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19"/>
                <w:szCs w:val="19"/>
                <w:highlight w:val="none"/>
                <w:lang w:val="en-US" w:eastAsia="zh-CN"/>
              </w:rPr>
              <w:t>56.3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19"/>
                <w:szCs w:val="19"/>
                <w:highlight w:val="none"/>
                <w:lang w:val="en-US" w:eastAsia="zh-CN"/>
              </w:rPr>
              <w:t>8.1</w:t>
            </w:r>
          </w:p>
        </w:tc>
        <w:tc>
          <w:tcPr>
            <w:tcW w:w="2622" w:type="dxa"/>
            <w:gridSpan w:val="2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0"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五</w:t>
            </w: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科技创新</w:t>
            </w:r>
          </w:p>
        </w:tc>
        <w:tc>
          <w:tcPr>
            <w:tcW w:w="6109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研发经费投入占比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</w:rPr>
              <w:t>%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tabs>
                <w:tab w:val="left" w:pos="68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3.02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1.3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3.05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0"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六</w:t>
            </w: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财政金融</w:t>
            </w:r>
          </w:p>
        </w:tc>
        <w:tc>
          <w:tcPr>
            <w:tcW w:w="6109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tabs>
                <w:tab w:val="left" w:pos="683"/>
                <w:tab w:val="center" w:pos="186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lang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般公共预算收入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亿元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tabs>
                <w:tab w:val="left" w:pos="683"/>
                <w:tab w:val="center" w:pos="186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>22.67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tabs>
                <w:tab w:val="left" w:pos="683"/>
                <w:tab w:val="center" w:pos="186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>11.92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tabs>
                <w:tab w:val="left" w:pos="683"/>
                <w:tab w:val="center" w:pos="186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>23.8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tabs>
                <w:tab w:val="left" w:pos="683"/>
                <w:tab w:val="center" w:pos="186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lang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般公共预算支出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亿元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tabs>
                <w:tab w:val="left" w:pos="683"/>
                <w:tab w:val="center" w:pos="186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>28.46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tabs>
                <w:tab w:val="left" w:pos="683"/>
                <w:tab w:val="center" w:pos="186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>2.75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tabs>
                <w:tab w:val="left" w:pos="683"/>
                <w:tab w:val="center" w:pos="186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>28.75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tabs>
                <w:tab w:val="left" w:pos="683"/>
                <w:tab w:val="center" w:pos="186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金融机构存款余额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亿元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beforeLines="0"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502.13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beforeLines="0"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10.1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553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beforeLines="0"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10.1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金融机构贷款余额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亿元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beforeLines="0"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263.76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beforeLines="0"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</w:rPr>
              <w:t>8.5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beforeLines="0"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291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beforeLines="0"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>10.3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七</w:t>
            </w: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节能减排</w:t>
            </w:r>
          </w:p>
        </w:tc>
        <w:tc>
          <w:tcPr>
            <w:tcW w:w="6109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万元生产总值能耗降低率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</w:rPr>
              <w:t>%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6.24</w:t>
            </w:r>
          </w:p>
        </w:tc>
        <w:tc>
          <w:tcPr>
            <w:tcW w:w="2622" w:type="dxa"/>
            <w:gridSpan w:val="2"/>
            <w:vMerge w:val="restart"/>
            <w:tcBorders>
              <w:bottom w:val="nil"/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lang w:val="en-US" w:eastAsia="zh-CN"/>
              </w:rPr>
              <w:t>完成市下达任务指标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</w:rPr>
              <w:t>VOCs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削减量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吨</w:t>
            </w:r>
          </w:p>
        </w:tc>
        <w:tc>
          <w:tcPr>
            <w:tcW w:w="2719" w:type="dxa"/>
            <w:gridSpan w:val="2"/>
            <w:vMerge w:val="restar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lang w:val="en-US" w:eastAsia="zh-CN"/>
              </w:rPr>
              <w:t>完成市下达任务指标</w:t>
            </w:r>
          </w:p>
        </w:tc>
        <w:tc>
          <w:tcPr>
            <w:tcW w:w="2622" w:type="dxa"/>
            <w:gridSpan w:val="2"/>
            <w:vMerge w:val="continue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</w:rPr>
              <w:t>COD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排放削减量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吨</w:t>
            </w:r>
          </w:p>
        </w:tc>
        <w:tc>
          <w:tcPr>
            <w:tcW w:w="2719" w:type="dxa"/>
            <w:gridSpan w:val="2"/>
            <w:vMerge w:val="continue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eastAsia="zh-CN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top w:val="nil"/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八</w:t>
            </w: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就业和人民生活</w:t>
            </w:r>
          </w:p>
        </w:tc>
        <w:tc>
          <w:tcPr>
            <w:tcW w:w="6109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城镇新增就业人数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万人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0.43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—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0.4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城镇居民人均可支配收入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元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47363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5.1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—</w:t>
            </w:r>
          </w:p>
        </w:tc>
        <w:tc>
          <w:tcPr>
            <w:tcW w:w="1056" w:type="dxa"/>
            <w:vMerge w:val="restart"/>
            <w:tcBorders>
              <w:bottom w:val="nil"/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lang w:val="en-US" w:eastAsia="zh-CN"/>
              </w:rPr>
              <w:t>5.5以上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农村居民人均可支配收入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元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23985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6.8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—</w:t>
            </w:r>
          </w:p>
        </w:tc>
        <w:tc>
          <w:tcPr>
            <w:tcW w:w="1056" w:type="dxa"/>
            <w:vMerge w:val="continue"/>
            <w:tcBorders>
              <w:top w:val="nil"/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九</w:t>
            </w:r>
            <w:r>
              <w:rPr>
                <w:rFonts w:hint="default" w:ascii="Times New Roman" w:hAnsi="Times New Roman" w:eastAsia="微软雅黑" w:cs="Times New Roman"/>
                <w:color w:val="231F20"/>
                <w:spacing w:val="0"/>
                <w:position w:val="0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安全保障</w:t>
            </w:r>
          </w:p>
        </w:tc>
        <w:tc>
          <w:tcPr>
            <w:tcW w:w="6109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58" w:type="dxa"/>
            <w:tcBorders>
              <w:lef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2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粮食综合生产能力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spacing w:val="0"/>
                <w:position w:val="0"/>
                <w:sz w:val="20"/>
                <w:szCs w:val="20"/>
              </w:rPr>
              <w:t>万吨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5.57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  <w:lang w:val="en-US" w:eastAsia="zh-CN"/>
              </w:rPr>
              <w:t>1.8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lang w:val="en-US" w:eastAsia="zh-CN"/>
              </w:rPr>
              <w:t>5.57</w:t>
            </w:r>
          </w:p>
        </w:tc>
        <w:tc>
          <w:tcPr>
            <w:tcW w:w="1056" w:type="dxa"/>
            <w:tcBorders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微软雅黑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position w:val="0"/>
                <w:sz w:val="20"/>
                <w:szCs w:val="20"/>
                <w:lang w:val="en-US" w:eastAsia="zh-CN"/>
              </w:rPr>
              <w:t>保持稳定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8"/>
          <w:sz w:val="30"/>
        </w:rPr>
      </w:pPr>
      <w:r>
        <w:rPr>
          <w:rFonts w:hint="default" w:ascii="Times New Roman" w:hAnsi="Times New Roman" w:eastAsia="仿宋_GB2312" w:cs="Times New Roman"/>
          <w:b/>
          <w:spacing w:val="-8"/>
          <w:sz w:val="30"/>
        </w:rPr>
        <w:t>——————————————————————————————</w:t>
      </w:r>
    </w:p>
    <w:p>
      <w:pPr>
        <w:widowControl/>
        <w:spacing w:line="340" w:lineRule="atLeast"/>
        <w:ind w:right="210" w:firstLine="280"/>
        <w:rPr>
          <w:rFonts w:eastAsia="仿宋_GB2312"/>
          <w:spacing w:val="6"/>
          <w:kern w:val="0"/>
          <w:sz w:val="28"/>
          <w:szCs w:val="28"/>
        </w:rPr>
      </w:pPr>
      <w:r>
        <w:rPr>
          <w:rFonts w:eastAsia="仿宋_GB2312"/>
          <w:spacing w:val="6"/>
          <w:kern w:val="0"/>
          <w:sz w:val="28"/>
          <w:szCs w:val="28"/>
        </w:rPr>
        <w:t>抄送：区委各部门，区人大办，区政协办，区人武部，区法院，</w:t>
      </w:r>
    </w:p>
    <w:p>
      <w:pPr>
        <w:widowControl/>
        <w:spacing w:line="340" w:lineRule="atLeast"/>
        <w:ind w:right="210" w:firstLine="28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</w:t>
      </w:r>
      <w:r>
        <w:rPr>
          <w:rFonts w:eastAsia="仿宋_GB2312"/>
          <w:spacing w:val="6"/>
          <w:kern w:val="0"/>
          <w:sz w:val="28"/>
          <w:szCs w:val="28"/>
        </w:rPr>
        <w:t xml:space="preserve">   区检察院，各人民团体。</w:t>
      </w:r>
    </w:p>
    <w:p>
      <w:pPr>
        <w:pStyle w:val="3"/>
        <w:spacing w:line="340" w:lineRule="exact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  <w:r>
        <w:rPr>
          <w:rFonts w:hint="default" w:ascii="Times New Roman" w:hAnsi="Times New Roman" w:eastAsia="仿宋_GB2312" w:cs="Times New Roman"/>
          <w:spacing w:val="-8"/>
          <w:sz w:val="30"/>
        </w:rPr>
        <w:t>——————————————————————————————</w:t>
      </w:r>
    </w:p>
    <w:p>
      <w:pPr>
        <w:pStyle w:val="3"/>
        <w:spacing w:line="340" w:lineRule="exact"/>
        <w:ind w:right="210" w:rightChars="100"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周村区人民政府办公室                  2023年4月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pStyle w:val="3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8"/>
          <w:sz w:val="32"/>
        </w:rPr>
      </w:pPr>
      <w:r>
        <w:rPr>
          <w:rFonts w:hint="default" w:ascii="Times New Roman" w:hAnsi="Times New Roman" w:eastAsia="仿宋_GB2312" w:cs="Times New Roman"/>
          <w:b/>
          <w:spacing w:val="-8"/>
          <w:sz w:val="30"/>
        </w:rPr>
        <w:t>——————————————————————————————</w:t>
      </w:r>
    </w:p>
    <w:sectPr>
      <w:footerReference r:id="rId3" w:type="default"/>
      <w:footerReference r:id="rId4" w:type="even"/>
      <w:pgSz w:w="11906" w:h="16838"/>
      <w:pgMar w:top="2041" w:right="1531" w:bottom="1701" w:left="1531" w:header="851" w:footer="136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</w:t>
    </w:r>
    <w:r>
      <w:rPr>
        <w:rStyle w:val="6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 —</w:t>
    </w:r>
    <w:r>
      <w:rPr>
        <w:rStyle w:val="6"/>
        <w:rFonts w:hint="eastAsia"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4147B"/>
    <w:rsid w:val="2FE4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Body Text 2"/>
    <w:basedOn w:val="1"/>
    <w:qFormat/>
    <w:uiPriority w:val="0"/>
    <w:pPr>
      <w:jc w:val="center"/>
    </w:pPr>
    <w:rPr>
      <w:rFonts w:ascii="宋体" w:hAnsi="宋体" w:eastAsia="宋体"/>
      <w:kern w:val="2"/>
      <w:sz w:val="70"/>
      <w:szCs w:val="24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正文 New New New New New New New New New New New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目录 1 New"/>
    <w:basedOn w:val="7"/>
    <w:next w:val="7"/>
    <w:qFormat/>
    <w:uiPriority w:val="0"/>
    <w:pPr>
      <w:snapToGrid w:val="0"/>
      <w:spacing w:line="640" w:lineRule="exact"/>
      <w:ind w:firstLine="705" w:firstLineChars="0"/>
    </w:pPr>
    <w:rPr>
      <w:rFonts w:ascii="仿宋_GB2312" w:hAnsi="Calibri" w:eastAsia="方正仿宋简体" w:cs="Times New Roman"/>
      <w:color w:val="000000"/>
      <w:sz w:val="36"/>
      <w:szCs w:val="36"/>
    </w:rPr>
  </w:style>
  <w:style w:type="paragraph" w:customStyle="1" w:styleId="9">
    <w:name w:val="正文 New New New New New New New New New New New New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目录 1 New New"/>
    <w:basedOn w:val="9"/>
    <w:next w:val="9"/>
    <w:qFormat/>
    <w:uiPriority w:val="0"/>
    <w:pPr>
      <w:snapToGrid w:val="0"/>
      <w:spacing w:line="640" w:lineRule="exact"/>
      <w:ind w:firstLine="705" w:firstLineChars="0"/>
    </w:pPr>
    <w:rPr>
      <w:rFonts w:ascii="仿宋_GB2312" w:hAnsi="Calibri" w:eastAsia="方正仿宋简体" w:cs="Times New Roman"/>
      <w:color w:val="000000"/>
      <w:sz w:val="36"/>
      <w:szCs w:val="36"/>
    </w:rPr>
  </w:style>
  <w:style w:type="character" w:customStyle="1" w:styleId="11">
    <w:name w:val="要点 New New"/>
    <w:basedOn w:val="5"/>
    <w:qFormat/>
    <w:uiPriority w:val="0"/>
    <w:rPr>
      <w:b/>
    </w:rPr>
  </w:style>
  <w:style w:type="paragraph" w:customStyle="1" w:styleId="12">
    <w:name w:val="正文 New New New New New New New New New New New New New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目录 1 New New New"/>
    <w:basedOn w:val="12"/>
    <w:next w:val="12"/>
    <w:qFormat/>
    <w:uiPriority w:val="0"/>
    <w:pPr>
      <w:snapToGrid w:val="0"/>
      <w:spacing w:line="640" w:lineRule="exact"/>
      <w:ind w:firstLine="705" w:firstLineChars="0"/>
    </w:pPr>
    <w:rPr>
      <w:rFonts w:ascii="仿宋_GB2312" w:hAnsi="Calibri" w:eastAsia="方正仿宋简体" w:cs="Times New Roman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2023-05-09T17:02:00Z</dcterms:created>
  <dc:creator>独身仙子</dc:creator>
  <cp:lastModifiedBy>独身仙子</cp:lastModifiedBy>
  <dcterms:modified xsi:type="dcterms:W3CDTF">2023-05-09T17:04:17Z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