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color w:val="000000"/>
          <w:kern w:val="0"/>
          <w:sz w:val="44"/>
          <w:szCs w:val="44"/>
          <w:lang w:bidi="ar"/>
        </w:rPr>
      </w:pPr>
      <w:r>
        <w:rPr>
          <w:rFonts w:eastAsia="方正小标宋简体"/>
          <w:color w:val="000000"/>
          <w:kern w:val="0"/>
          <w:sz w:val="44"/>
          <w:szCs w:val="44"/>
          <w:lang w:bidi="ar"/>
        </w:rPr>
        <w:t>关于贯彻落实淄政办字〔2019〕72号文件开展</w:t>
      </w:r>
    </w:p>
    <w:p>
      <w:pPr>
        <w:spacing w:line="700" w:lineRule="exact"/>
        <w:jc w:val="center"/>
        <w:rPr>
          <w:rFonts w:eastAsia="方正小标宋简体"/>
          <w:sz w:val="44"/>
          <w:szCs w:val="44"/>
        </w:rPr>
      </w:pPr>
      <w:r>
        <w:rPr>
          <w:rFonts w:eastAsia="方正小标宋简体"/>
          <w:color w:val="000000"/>
          <w:kern w:val="0"/>
          <w:sz w:val="44"/>
          <w:szCs w:val="44"/>
          <w:lang w:bidi="ar"/>
        </w:rPr>
        <w:t>各类变相审批和许可清理整治工作的通知</w:t>
      </w:r>
    </w:p>
    <w:p>
      <w:pPr>
        <w:spacing w:line="600" w:lineRule="exact"/>
        <w:jc w:val="center"/>
        <w:rPr>
          <w:rFonts w:eastAsia="仿宋_GB2312"/>
          <w:sz w:val="32"/>
        </w:rPr>
      </w:pPr>
      <w:r>
        <w:rPr>
          <w:rFonts w:eastAsia="仿宋_GB2312"/>
          <w:sz w:val="32"/>
        </w:rPr>
        <w:t>周政办字〔2019〕42号</w:t>
      </w:r>
    </w:p>
    <w:p>
      <w:pPr>
        <w:spacing w:line="580" w:lineRule="exact"/>
        <w:ind w:firstLine="880" w:firstLineChars="200"/>
        <w:rPr>
          <w:rFonts w:eastAsia="仿宋_GB2312"/>
          <w:sz w:val="44"/>
          <w:szCs w:val="44"/>
        </w:rPr>
      </w:pPr>
      <w:bookmarkStart w:id="0" w:name="_GoBack"/>
      <w:bookmarkEnd w:id="0"/>
    </w:p>
    <w:p>
      <w:pPr>
        <w:spacing w:line="580" w:lineRule="exact"/>
        <w:rPr>
          <w:rFonts w:eastAsia="仿宋_GB2312"/>
          <w:sz w:val="32"/>
          <w:szCs w:val="32"/>
        </w:rPr>
      </w:pPr>
      <w:r>
        <w:rPr>
          <w:rFonts w:eastAsia="仿宋_GB2312"/>
          <w:color w:val="000000"/>
          <w:kern w:val="0"/>
          <w:sz w:val="32"/>
          <w:szCs w:val="32"/>
          <w:lang w:bidi="ar"/>
        </w:rPr>
        <w:t>区政府各有关部门、单位：</w:t>
      </w:r>
    </w:p>
    <w:p>
      <w:pPr>
        <w:spacing w:line="580" w:lineRule="exact"/>
        <w:ind w:firstLine="640" w:firstLineChars="200"/>
        <w:rPr>
          <w:rFonts w:eastAsia="仿宋_GB2312"/>
          <w:sz w:val="32"/>
          <w:szCs w:val="32"/>
        </w:rPr>
      </w:pPr>
      <w:r>
        <w:rPr>
          <w:rFonts w:eastAsia="仿宋_GB2312"/>
          <w:color w:val="000000"/>
          <w:kern w:val="0"/>
          <w:sz w:val="32"/>
          <w:szCs w:val="32"/>
          <w:lang w:bidi="ar"/>
        </w:rPr>
        <w:t>为贯彻落实省、市政府要求，根据《淄博市人民政府办公室关于贯彻落实鲁政办字〔2019〕168号文件开展各类变相审批和许可清理整治工作的通知》（淄政办字〔2019〕72号），扎实开展我区清理整治各类变相设置审批和许可工作，现将有关事项通知如下。</w:t>
      </w:r>
    </w:p>
    <w:p>
      <w:pPr>
        <w:spacing w:line="580" w:lineRule="exact"/>
        <w:ind w:firstLine="640" w:firstLineChars="200"/>
        <w:rPr>
          <w:rFonts w:eastAsia="黑体"/>
          <w:sz w:val="32"/>
          <w:szCs w:val="32"/>
        </w:rPr>
      </w:pPr>
      <w:r>
        <w:rPr>
          <w:rFonts w:eastAsia="黑体"/>
          <w:color w:val="000000"/>
          <w:kern w:val="0"/>
          <w:sz w:val="32"/>
          <w:szCs w:val="32"/>
          <w:lang w:bidi="ar"/>
        </w:rPr>
        <w:t>一、清理整治工作目标</w:t>
      </w:r>
    </w:p>
    <w:p>
      <w:pPr>
        <w:spacing w:line="580" w:lineRule="exact"/>
        <w:ind w:firstLine="640" w:firstLineChars="200"/>
        <w:rPr>
          <w:rFonts w:eastAsia="仿宋_GB2312"/>
          <w:sz w:val="32"/>
          <w:szCs w:val="32"/>
        </w:rPr>
      </w:pPr>
      <w:r>
        <w:rPr>
          <w:rFonts w:eastAsia="仿宋_GB2312"/>
          <w:color w:val="000000"/>
          <w:kern w:val="0"/>
          <w:sz w:val="32"/>
          <w:szCs w:val="32"/>
          <w:lang w:bidi="ar"/>
        </w:rPr>
        <w:t>扎实开展我区清理整治各类变相设置审批和许可工作，坚决打破各种“弹簧门”“玻璃门”“旋转门”，打造“审批事项少、办事效率高、服务质量优、群众获得感强”的一流营商环境。</w:t>
      </w:r>
    </w:p>
    <w:p>
      <w:pPr>
        <w:spacing w:line="580" w:lineRule="exact"/>
        <w:ind w:firstLine="640" w:firstLineChars="200"/>
        <w:rPr>
          <w:rFonts w:eastAsia="黑体"/>
          <w:sz w:val="32"/>
          <w:szCs w:val="32"/>
        </w:rPr>
      </w:pPr>
      <w:r>
        <w:rPr>
          <w:rFonts w:eastAsia="黑体"/>
          <w:color w:val="000000"/>
          <w:kern w:val="0"/>
          <w:sz w:val="32"/>
          <w:szCs w:val="32"/>
          <w:lang w:bidi="ar"/>
        </w:rPr>
        <w:t>二、清理整治范围</w:t>
      </w:r>
    </w:p>
    <w:p>
      <w:pPr>
        <w:spacing w:line="58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各《政府部门权责清单》中，所有依相对人申请办理的其他行政权力事项和公共服务事项，是否存在以备案、登记、注册、目录、年检、监制、认定、认证、专项计划等形式变相设置、实施的审批和许可。</w:t>
      </w:r>
    </w:p>
    <w:p>
      <w:pPr>
        <w:spacing w:line="580" w:lineRule="exact"/>
        <w:ind w:firstLine="640" w:firstLineChars="200"/>
        <w:rPr>
          <w:rFonts w:eastAsia="黑体"/>
          <w:sz w:val="32"/>
          <w:szCs w:val="32"/>
        </w:rPr>
      </w:pPr>
      <w:r>
        <w:rPr>
          <w:rFonts w:eastAsia="黑体"/>
          <w:color w:val="000000"/>
          <w:kern w:val="0"/>
          <w:sz w:val="32"/>
          <w:szCs w:val="32"/>
          <w:lang w:bidi="ar"/>
        </w:rPr>
        <w:t>三、步骤安排</w:t>
      </w:r>
    </w:p>
    <w:p>
      <w:pPr>
        <w:spacing w:line="580" w:lineRule="exact"/>
        <w:ind w:firstLine="640" w:firstLineChars="200"/>
        <w:rPr>
          <w:rFonts w:eastAsia="仿宋_GB2312"/>
          <w:sz w:val="32"/>
          <w:szCs w:val="32"/>
        </w:rPr>
      </w:pPr>
      <w:r>
        <w:rPr>
          <w:rFonts w:eastAsia="楷体_GB2312"/>
          <w:color w:val="000000"/>
          <w:kern w:val="0"/>
          <w:sz w:val="32"/>
          <w:szCs w:val="32"/>
          <w:lang w:bidi="ar"/>
        </w:rPr>
        <w:t>（一）自查摸底阶段（10月16日前）。</w:t>
      </w:r>
      <w:r>
        <w:rPr>
          <w:rFonts w:eastAsia="仿宋_GB2312"/>
          <w:color w:val="000000"/>
          <w:kern w:val="0"/>
          <w:sz w:val="32"/>
          <w:szCs w:val="32"/>
          <w:lang w:bidi="ar"/>
        </w:rPr>
        <w:t>各有关部门、单位要全面摸清本部门实施的以备案、登记、注册、目录、年检、监制、认定、认证、专项计划等形式，设置、实施的审批和许可事项底数。在摸清家底的基础上，逐项填写区直部门（单位）自查摸底情况及整改建议表（附件）并制定整改方案。相关情况及附表（含纸质材料和电子文档，注明联系人和联系方式）加盖单位公章后，于10月16日前报区行政审批服务局，由区行政审批服务局汇总后报市政府办公室、市行政审批服务局。</w:t>
      </w:r>
    </w:p>
    <w:p>
      <w:pPr>
        <w:spacing w:line="580" w:lineRule="exact"/>
        <w:ind w:firstLine="640" w:firstLineChars="200"/>
        <w:rPr>
          <w:rFonts w:eastAsia="仿宋_GB2312"/>
          <w:sz w:val="32"/>
          <w:szCs w:val="32"/>
        </w:rPr>
      </w:pPr>
      <w:r>
        <w:rPr>
          <w:rFonts w:eastAsia="楷体_GB2312"/>
          <w:color w:val="000000"/>
          <w:kern w:val="0"/>
          <w:sz w:val="32"/>
          <w:szCs w:val="32"/>
          <w:lang w:bidi="ar"/>
        </w:rPr>
        <w:t>（二）整改落实阶段（11月25日至12月13日）。</w:t>
      </w:r>
      <w:r>
        <w:rPr>
          <w:rFonts w:eastAsia="仿宋_GB2312"/>
          <w:color w:val="000000"/>
          <w:kern w:val="0"/>
          <w:sz w:val="32"/>
          <w:szCs w:val="32"/>
          <w:lang w:bidi="ar"/>
        </w:rPr>
        <w:t>区直各有关部门、单位按照市政府办公室提出的整改反馈意见，采取有效措施，认真进行整改；对以备案、登记、注册、目录、年检、监制、认定、认证、专项计划等形式变相设置审批和许可的，属市级以上（含市级）设定的提出清理整治建议，由区行政审批服务局汇总后按程序上报市政府办公室、市行政审批服务局；属市级以下设定的，予以清理。整改落实情况经主要负责同志审定后，</w:t>
      </w:r>
      <w:r>
        <w:rPr>
          <w:rFonts w:hint="eastAsia" w:eastAsia="仿宋_GB2312"/>
          <w:color w:val="000000"/>
          <w:kern w:val="0"/>
          <w:sz w:val="32"/>
          <w:szCs w:val="32"/>
          <w:lang w:bidi="ar"/>
        </w:rPr>
        <w:t>于</w:t>
      </w:r>
      <w:r>
        <w:rPr>
          <w:rFonts w:eastAsia="仿宋_GB2312"/>
          <w:color w:val="000000"/>
          <w:kern w:val="0"/>
          <w:sz w:val="32"/>
          <w:szCs w:val="32"/>
          <w:lang w:bidi="ar"/>
        </w:rPr>
        <w:t>12月13日前书面报区行政审批服务局。</w:t>
      </w:r>
    </w:p>
    <w:p>
      <w:pPr>
        <w:spacing w:line="580" w:lineRule="exact"/>
        <w:ind w:firstLine="640" w:firstLineChars="200"/>
        <w:rPr>
          <w:rFonts w:eastAsia="黑体"/>
          <w:sz w:val="32"/>
          <w:szCs w:val="32"/>
        </w:rPr>
      </w:pPr>
      <w:r>
        <w:rPr>
          <w:rFonts w:eastAsia="黑体"/>
          <w:color w:val="000000"/>
          <w:kern w:val="0"/>
          <w:sz w:val="32"/>
          <w:szCs w:val="32"/>
          <w:lang w:bidi="ar"/>
        </w:rPr>
        <w:t>四、有关要求</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（一）加强组织领导。</w:t>
      </w:r>
      <w:r>
        <w:rPr>
          <w:rFonts w:eastAsia="仿宋_GB2312"/>
          <w:color w:val="000000"/>
          <w:kern w:val="0"/>
          <w:sz w:val="32"/>
          <w:szCs w:val="32"/>
          <w:lang w:bidi="ar"/>
        </w:rPr>
        <w:t>区直各部门、单位要高度重视，把开展各类变相审批和许可清理整治工作，作为实施流程再造，进一步深化“一窗受理·一次办好”改革的重要举措，压实工作责任，确保有序开展。</w:t>
      </w:r>
    </w:p>
    <w:p>
      <w:pPr>
        <w:spacing w:line="580" w:lineRule="exact"/>
        <w:ind w:firstLine="640" w:firstLineChars="200"/>
        <w:rPr>
          <w:rFonts w:eastAsia="仿宋_GB2312"/>
          <w:color w:val="000000"/>
          <w:kern w:val="0"/>
          <w:sz w:val="32"/>
          <w:szCs w:val="32"/>
          <w:lang w:bidi="ar"/>
        </w:rPr>
      </w:pPr>
      <w:r>
        <w:rPr>
          <w:rFonts w:eastAsia="楷体_GB2312"/>
          <w:color w:val="000000"/>
          <w:kern w:val="0"/>
          <w:sz w:val="32"/>
          <w:szCs w:val="32"/>
          <w:lang w:bidi="ar"/>
        </w:rPr>
        <w:t>（二）认真细致清理。</w:t>
      </w:r>
      <w:r>
        <w:rPr>
          <w:rFonts w:eastAsia="仿宋_GB2312"/>
          <w:color w:val="000000"/>
          <w:kern w:val="0"/>
          <w:sz w:val="32"/>
          <w:szCs w:val="32"/>
          <w:lang w:bidi="ar"/>
        </w:rPr>
        <w:t>加强协调调度，严格按照时间节点，扎实推进清理工作；全面摸清变相审批和许可底数，科学提出整改建议；严明工作纪律，实事求是自查摸排，严禁谎报、瞒报。</w:t>
      </w:r>
    </w:p>
    <w:p>
      <w:pPr>
        <w:spacing w:line="580" w:lineRule="exact"/>
        <w:ind w:firstLine="640" w:firstLineChars="200"/>
        <w:rPr>
          <w:rFonts w:eastAsia="仿宋_GB2312"/>
          <w:sz w:val="32"/>
          <w:szCs w:val="32"/>
        </w:rPr>
      </w:pPr>
      <w:r>
        <w:rPr>
          <w:rFonts w:eastAsia="楷体_GB2312"/>
          <w:color w:val="000000"/>
          <w:kern w:val="0"/>
          <w:sz w:val="32"/>
          <w:szCs w:val="32"/>
          <w:lang w:bidi="ar"/>
        </w:rPr>
        <w:t>（三）严格整改落实。</w:t>
      </w:r>
      <w:r>
        <w:rPr>
          <w:rFonts w:eastAsia="仿宋_GB2312"/>
          <w:color w:val="000000"/>
          <w:kern w:val="0"/>
          <w:sz w:val="32"/>
          <w:szCs w:val="32"/>
          <w:lang w:bidi="ar"/>
        </w:rPr>
        <w:t>坚持问题导向，严整改严落实严把质量关，以“钉钉子”精神确保整改措施落地见效。对工作开展不力、整改落实不到位的，区政府办公室将进行通报。</w:t>
      </w:r>
    </w:p>
    <w:p>
      <w:pPr>
        <w:spacing w:line="580" w:lineRule="exact"/>
        <w:ind w:firstLine="640" w:firstLineChars="200"/>
        <w:rPr>
          <w:rFonts w:eastAsia="仿宋_GB2312"/>
          <w:sz w:val="32"/>
          <w:szCs w:val="32"/>
        </w:rPr>
      </w:pPr>
      <w:r>
        <w:rPr>
          <w:rFonts w:eastAsia="仿宋_GB2312"/>
          <w:color w:val="000000"/>
          <w:kern w:val="0"/>
          <w:sz w:val="32"/>
          <w:szCs w:val="32"/>
          <w:lang w:bidi="ar"/>
        </w:rPr>
        <w:t>区行政审批服务局联系人：何晨，电话：6195599，协同办公邮箱：spzx6412345@zb.shandong.cn</w:t>
      </w:r>
    </w:p>
    <w:p>
      <w:pPr>
        <w:spacing w:line="580" w:lineRule="exact"/>
        <w:ind w:firstLine="640" w:firstLineChars="200"/>
        <w:rPr>
          <w:rFonts w:eastAsia="仿宋_GB2312"/>
          <w:color w:val="000000"/>
          <w:kern w:val="0"/>
          <w:sz w:val="32"/>
          <w:szCs w:val="32"/>
          <w:lang w:bidi="ar"/>
        </w:rPr>
      </w:pPr>
    </w:p>
    <w:p>
      <w:pPr>
        <w:tabs>
          <w:tab w:val="left" w:pos="9240"/>
          <w:tab w:val="left" w:pos="10080"/>
          <w:tab w:val="left" w:pos="12180"/>
        </w:tabs>
        <w:spacing w:line="580" w:lineRule="exact"/>
        <w:ind w:firstLine="640" w:firstLineChars="200"/>
        <w:rPr>
          <w:rFonts w:eastAsia="仿宋_GB2312"/>
          <w:sz w:val="32"/>
          <w:szCs w:val="32"/>
        </w:rPr>
      </w:pPr>
      <w:r>
        <w:rPr>
          <w:rFonts w:eastAsia="仿宋_GB2312"/>
          <w:color w:val="000000"/>
          <w:kern w:val="0"/>
          <w:sz w:val="32"/>
          <w:szCs w:val="32"/>
          <w:lang w:bidi="ar"/>
        </w:rPr>
        <w:t>附件：区直部门（单位）自查摸底情况及整改建议表</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2019年10月9日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pPr>
    </w:p>
    <w:p>
      <w:pPr>
        <w:tabs>
          <w:tab w:val="left" w:pos="7727"/>
          <w:tab w:val="left" w:pos="7770"/>
        </w:tabs>
        <w:spacing w:line="580" w:lineRule="exact"/>
        <w:rPr>
          <w:rFonts w:eastAsia="黑体"/>
          <w:color w:val="000000"/>
          <w:kern w:val="0"/>
          <w:sz w:val="32"/>
          <w:szCs w:val="32"/>
        </w:rPr>
      </w:pPr>
      <w:r>
        <w:rPr>
          <w:rFonts w:eastAsia="黑体"/>
          <w:color w:val="000000"/>
          <w:kern w:val="0"/>
          <w:sz w:val="32"/>
          <w:szCs w:val="32"/>
        </w:rPr>
        <w:t>附件</w:t>
      </w:r>
    </w:p>
    <w:p>
      <w:pPr>
        <w:tabs>
          <w:tab w:val="left" w:pos="7727"/>
          <w:tab w:val="left" w:pos="7770"/>
        </w:tabs>
        <w:spacing w:line="300" w:lineRule="exact"/>
        <w:rPr>
          <w:rFonts w:eastAsia="黑体"/>
          <w:color w:val="000000"/>
          <w:kern w:val="0"/>
          <w:sz w:val="32"/>
          <w:szCs w:val="32"/>
        </w:rPr>
      </w:pPr>
    </w:p>
    <w:p>
      <w:pPr>
        <w:tabs>
          <w:tab w:val="left" w:pos="7727"/>
          <w:tab w:val="left" w:pos="7770"/>
        </w:tabs>
        <w:spacing w:line="700" w:lineRule="exact"/>
        <w:jc w:val="center"/>
        <w:rPr>
          <w:rFonts w:eastAsia="方正小标宋简体"/>
          <w:color w:val="000000"/>
          <w:kern w:val="0"/>
          <w:sz w:val="44"/>
          <w:szCs w:val="44"/>
        </w:rPr>
      </w:pPr>
      <w:r>
        <w:rPr>
          <w:rFonts w:eastAsia="方正小标宋简体"/>
          <w:color w:val="000000"/>
          <w:kern w:val="0"/>
          <w:sz w:val="44"/>
          <w:szCs w:val="44"/>
        </w:rPr>
        <w:t>区直部门（单位）自查摸底情况及整改建议表</w:t>
      </w:r>
    </w:p>
    <w:p>
      <w:pPr>
        <w:tabs>
          <w:tab w:val="left" w:pos="7727"/>
          <w:tab w:val="left" w:pos="7770"/>
        </w:tabs>
        <w:spacing w:line="300" w:lineRule="exact"/>
        <w:jc w:val="center"/>
        <w:rPr>
          <w:rFonts w:eastAsia="方正小标宋简体"/>
          <w:color w:val="000000"/>
          <w:kern w:val="0"/>
          <w:sz w:val="44"/>
          <w:szCs w:val="44"/>
        </w:rPr>
      </w:pPr>
    </w:p>
    <w:p>
      <w:pPr>
        <w:tabs>
          <w:tab w:val="left" w:pos="7727"/>
          <w:tab w:val="left" w:pos="7770"/>
        </w:tabs>
        <w:spacing w:line="700" w:lineRule="exact"/>
        <w:jc w:val="center"/>
        <w:rPr>
          <w:rFonts w:eastAsia="仿宋_GB2312"/>
          <w:sz w:val="28"/>
          <w:szCs w:val="28"/>
        </w:rPr>
      </w:pPr>
      <w:r>
        <w:rPr>
          <w:rFonts w:eastAsia="仿宋_GB2312"/>
          <w:color w:val="000000"/>
          <w:kern w:val="0"/>
          <w:sz w:val="28"/>
          <w:szCs w:val="28"/>
        </w:rPr>
        <w:t>单位（盖章）：                                                       填报时间：2019年  月  日</w:t>
      </w:r>
    </w:p>
    <w:tbl>
      <w:tblPr>
        <w:tblStyle w:val="21"/>
        <w:tblW w:w="13121" w:type="dxa"/>
        <w:jc w:val="center"/>
        <w:tblLayout w:type="autofit"/>
        <w:tblCellMar>
          <w:top w:w="15" w:type="dxa"/>
          <w:left w:w="15" w:type="dxa"/>
          <w:bottom w:w="15" w:type="dxa"/>
          <w:right w:w="15" w:type="dxa"/>
        </w:tblCellMar>
      </w:tblPr>
      <w:tblGrid>
        <w:gridCol w:w="600"/>
        <w:gridCol w:w="2205"/>
        <w:gridCol w:w="1680"/>
        <w:gridCol w:w="1680"/>
        <w:gridCol w:w="1680"/>
        <w:gridCol w:w="1496"/>
        <w:gridCol w:w="2730"/>
        <w:gridCol w:w="1050"/>
      </w:tblGrid>
      <w:tr>
        <w:tblPrEx>
          <w:tblCellMar>
            <w:top w:w="15" w:type="dxa"/>
            <w:left w:w="15" w:type="dxa"/>
            <w:bottom w:w="15" w:type="dxa"/>
            <w:right w:w="15" w:type="dxa"/>
          </w:tblCellMar>
        </w:tblPrEx>
        <w:trPr>
          <w:wBefore w:w="0" w:type="dxa"/>
          <w:wAfter w:w="0" w:type="dxa"/>
          <w:trHeight w:val="61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序号</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事项名称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实施形式</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实施主体</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实施依据</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是否为变相</w:t>
            </w:r>
          </w:p>
          <w:p>
            <w:pPr>
              <w:widowControl/>
              <w:jc w:val="center"/>
              <w:rPr>
                <w:rFonts w:eastAsia="黑体"/>
                <w:color w:val="000000"/>
                <w:kern w:val="0"/>
                <w:sz w:val="24"/>
              </w:rPr>
            </w:pPr>
            <w:r>
              <w:rPr>
                <w:rFonts w:hAnsi="黑体" w:eastAsia="黑体"/>
                <w:color w:val="000000"/>
                <w:kern w:val="0"/>
                <w:sz w:val="24"/>
              </w:rPr>
              <w:t>审批或许可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4"/>
              </w:rPr>
            </w:pPr>
            <w:r>
              <w:rPr>
                <w:rFonts w:hAnsi="黑体" w:eastAsia="黑体"/>
                <w:color w:val="000000"/>
                <w:kern w:val="0"/>
                <w:sz w:val="24"/>
              </w:rPr>
              <w:t>整改意见建议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8"/>
                <w:szCs w:val="28"/>
              </w:rPr>
            </w:pPr>
            <w:r>
              <w:rPr>
                <w:rFonts w:hAnsi="黑体" w:eastAsia="黑体"/>
                <w:color w:val="000000"/>
                <w:kern w:val="0"/>
                <w:sz w:val="28"/>
                <w:szCs w:val="28"/>
              </w:rPr>
              <w:t>备注</w:t>
            </w:r>
          </w:p>
        </w:tc>
      </w:tr>
      <w:tr>
        <w:tblPrEx>
          <w:tblCellMar>
            <w:top w:w="15" w:type="dxa"/>
            <w:left w:w="15" w:type="dxa"/>
            <w:bottom w:w="15" w:type="dxa"/>
            <w:right w:w="15" w:type="dxa"/>
          </w:tblCellMar>
        </w:tblPrEx>
        <w:trPr>
          <w:wBefore w:w="0" w:type="dxa"/>
          <w:wAfter w:w="0" w:type="dxa"/>
          <w:trHeight w:val="5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r>
      <w:tr>
        <w:tblPrEx>
          <w:tblCellMar>
            <w:top w:w="15" w:type="dxa"/>
            <w:left w:w="15" w:type="dxa"/>
            <w:bottom w:w="15" w:type="dxa"/>
            <w:right w:w="15" w:type="dxa"/>
          </w:tblCellMar>
        </w:tblPrEx>
        <w:trPr>
          <w:wBefore w:w="0" w:type="dxa"/>
          <w:wAfter w:w="0" w:type="dxa"/>
          <w:trHeight w:val="54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4"/>
              </w:rPr>
            </w:pPr>
          </w:p>
        </w:tc>
      </w:tr>
    </w:tbl>
    <w:p>
      <w:pPr>
        <w:tabs>
          <w:tab w:val="left" w:pos="7727"/>
          <w:tab w:val="left" w:pos="7770"/>
        </w:tabs>
        <w:spacing w:before="120" w:beforeLines="50" w:line="300" w:lineRule="exact"/>
        <w:rPr>
          <w:rFonts w:eastAsia="仿宋_GB2312"/>
          <w:sz w:val="32"/>
          <w:szCs w:val="32"/>
        </w:rPr>
      </w:pPr>
      <w:r>
        <w:rPr>
          <w:rFonts w:eastAsia="仿宋_GB2312"/>
          <w:color w:val="000000"/>
          <w:kern w:val="0"/>
          <w:sz w:val="24"/>
        </w:rPr>
        <w:t>填表人：                              联系电话：</w:t>
      </w:r>
    </w:p>
    <w:p>
      <w:pPr>
        <w:tabs>
          <w:tab w:val="left" w:pos="7727"/>
          <w:tab w:val="left" w:pos="7770"/>
        </w:tabs>
        <w:spacing w:before="120" w:beforeLines="50" w:line="300" w:lineRule="exact"/>
        <w:rPr>
          <w:rFonts w:eastAsia="仿宋_GB2312"/>
          <w:sz w:val="32"/>
          <w:szCs w:val="32"/>
        </w:rPr>
      </w:pPr>
      <w:r>
        <w:rPr>
          <w:rFonts w:eastAsia="仿宋_GB2312"/>
          <w:color w:val="000000"/>
          <w:kern w:val="0"/>
          <w:sz w:val="24"/>
        </w:rPr>
        <w:t>填表说明：</w:t>
      </w:r>
      <w:r>
        <w:rPr>
          <w:rFonts w:eastAsia="仿宋_GB2312"/>
          <w:color w:val="000000"/>
          <w:kern w:val="0"/>
          <w:sz w:val="24"/>
        </w:rPr>
        <w:br w:type="textWrapping"/>
      </w:r>
      <w:r>
        <w:rPr>
          <w:rFonts w:eastAsia="仿宋_GB2312"/>
          <w:color w:val="000000"/>
          <w:kern w:val="0"/>
          <w:sz w:val="24"/>
        </w:rPr>
        <w:t>1．“事项名称”请填写本级权责清单中的名称；</w:t>
      </w:r>
      <w:r>
        <w:rPr>
          <w:rFonts w:eastAsia="仿宋_GB2312"/>
          <w:color w:val="000000"/>
          <w:kern w:val="0"/>
          <w:sz w:val="24"/>
        </w:rPr>
        <w:br w:type="textWrapping"/>
      </w:r>
      <w:r>
        <w:rPr>
          <w:rFonts w:eastAsia="仿宋_GB2312"/>
          <w:color w:val="000000"/>
          <w:kern w:val="0"/>
          <w:sz w:val="24"/>
        </w:rPr>
        <w:t>2．“实施形式”请填写“备案、登记、注册、目录、年检、监制、认定、认证、专项计划”等；</w:t>
      </w:r>
      <w:r>
        <w:rPr>
          <w:rFonts w:eastAsia="仿宋_GB2312"/>
          <w:color w:val="000000"/>
          <w:kern w:val="0"/>
          <w:sz w:val="24"/>
        </w:rPr>
        <w:br w:type="textWrapping"/>
      </w:r>
      <w:r>
        <w:rPr>
          <w:rFonts w:eastAsia="仿宋_GB2312"/>
          <w:color w:val="000000"/>
          <w:kern w:val="0"/>
          <w:sz w:val="24"/>
        </w:rPr>
        <w:t>3．“实施主体”请填写到具体实施该事项的科室或二级机构，如XX局XX科室或二级机构名称；</w:t>
      </w:r>
      <w:r>
        <w:rPr>
          <w:rFonts w:eastAsia="仿宋_GB2312"/>
          <w:color w:val="000000"/>
          <w:kern w:val="0"/>
          <w:sz w:val="24"/>
        </w:rPr>
        <w:br w:type="textWrapping"/>
      </w:r>
      <w:r>
        <w:rPr>
          <w:rFonts w:eastAsia="仿宋_GB2312"/>
          <w:color w:val="000000"/>
          <w:kern w:val="0"/>
          <w:sz w:val="24"/>
        </w:rPr>
        <w:t>4．“实施依据”请列明依据名称、版本、具体条款；</w:t>
      </w:r>
      <w:r>
        <w:rPr>
          <w:rFonts w:eastAsia="仿宋_GB2312"/>
          <w:color w:val="000000"/>
          <w:kern w:val="0"/>
          <w:sz w:val="24"/>
        </w:rPr>
        <w:br w:type="textWrapping"/>
      </w:r>
      <w:r>
        <w:rPr>
          <w:rFonts w:eastAsia="仿宋_GB2312"/>
          <w:color w:val="000000"/>
          <w:kern w:val="0"/>
          <w:sz w:val="24"/>
        </w:rPr>
        <w:t>5．“是否为变相审批或许可”请填写“是”或“否”；</w:t>
      </w:r>
      <w:r>
        <w:rPr>
          <w:rFonts w:eastAsia="仿宋_GB2312"/>
          <w:color w:val="000000"/>
          <w:kern w:val="0"/>
          <w:sz w:val="24"/>
        </w:rPr>
        <w:br w:type="textWrapping"/>
      </w:r>
      <w:r>
        <w:rPr>
          <w:rFonts w:eastAsia="仿宋_GB2312"/>
          <w:color w:val="000000"/>
          <w:kern w:val="0"/>
          <w:sz w:val="24"/>
        </w:rPr>
        <w:t>6．表中需列明本部门、单位所有依相对人申请办理的其他行政权力事项和公共服务事项。</w:t>
      </w:r>
    </w:p>
    <w:p>
      <w:pPr>
        <w:tabs>
          <w:tab w:val="left" w:pos="7727"/>
          <w:tab w:val="left" w:pos="7770"/>
        </w:tabs>
        <w:spacing w:line="580" w:lineRule="exact"/>
        <w:ind w:firstLine="640" w:firstLineChars="200"/>
        <w:rPr>
          <w:rFonts w:eastAsia="仿宋_GB2312"/>
          <w:sz w:val="32"/>
          <w:szCs w:val="32"/>
        </w:rPr>
        <w:sectPr>
          <w:pgSz w:w="16840" w:h="11907" w:orient="landscape"/>
          <w:pgMar w:top="1531" w:right="2036" w:bottom="1531" w:left="1701" w:header="851" w:footer="800" w:gutter="0"/>
          <w:cols w:space="425" w:num="1"/>
          <w:docGrid w:linePitch="312" w:charSpace="0"/>
        </w:sect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2019年10月10日印发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36"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3</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659A"/>
    <w:rsid w:val="00127EFB"/>
    <w:rsid w:val="00130BEF"/>
    <w:rsid w:val="00131265"/>
    <w:rsid w:val="0013170A"/>
    <w:rsid w:val="00136A43"/>
    <w:rsid w:val="00137A24"/>
    <w:rsid w:val="00137CCD"/>
    <w:rsid w:val="00140919"/>
    <w:rsid w:val="001422A8"/>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5076"/>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DD1"/>
    <w:rsid w:val="0021761B"/>
    <w:rsid w:val="00217643"/>
    <w:rsid w:val="00217ACE"/>
    <w:rsid w:val="00220797"/>
    <w:rsid w:val="0022474A"/>
    <w:rsid w:val="00226A4A"/>
    <w:rsid w:val="002317A2"/>
    <w:rsid w:val="00232C02"/>
    <w:rsid w:val="002338FA"/>
    <w:rsid w:val="002354B0"/>
    <w:rsid w:val="002367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3B9E"/>
    <w:rsid w:val="002A4CC3"/>
    <w:rsid w:val="002A52B4"/>
    <w:rsid w:val="002A5363"/>
    <w:rsid w:val="002A7E7A"/>
    <w:rsid w:val="002B08E1"/>
    <w:rsid w:val="002B0958"/>
    <w:rsid w:val="002B0C9B"/>
    <w:rsid w:val="002B0F3B"/>
    <w:rsid w:val="002B31BF"/>
    <w:rsid w:val="002B32E1"/>
    <w:rsid w:val="002B4E63"/>
    <w:rsid w:val="002B5CF8"/>
    <w:rsid w:val="002B5D1E"/>
    <w:rsid w:val="002B73A5"/>
    <w:rsid w:val="002C148C"/>
    <w:rsid w:val="002C1D20"/>
    <w:rsid w:val="002C262D"/>
    <w:rsid w:val="002C382E"/>
    <w:rsid w:val="002C404D"/>
    <w:rsid w:val="002C4E7E"/>
    <w:rsid w:val="002C4F49"/>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5B23"/>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2E3"/>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646F"/>
    <w:rsid w:val="00487B73"/>
    <w:rsid w:val="00487D91"/>
    <w:rsid w:val="00490AEA"/>
    <w:rsid w:val="004921D0"/>
    <w:rsid w:val="0049286A"/>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4B7"/>
    <w:rsid w:val="004E0015"/>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5279"/>
    <w:rsid w:val="00676DD7"/>
    <w:rsid w:val="00676FE3"/>
    <w:rsid w:val="0067703F"/>
    <w:rsid w:val="006777AB"/>
    <w:rsid w:val="006810F6"/>
    <w:rsid w:val="00683612"/>
    <w:rsid w:val="006858F4"/>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4067"/>
    <w:rsid w:val="006E65DC"/>
    <w:rsid w:val="006F07B7"/>
    <w:rsid w:val="006F26AB"/>
    <w:rsid w:val="006F41AF"/>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359"/>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1B1"/>
    <w:rsid w:val="00860D3D"/>
    <w:rsid w:val="00860F29"/>
    <w:rsid w:val="00863277"/>
    <w:rsid w:val="00863933"/>
    <w:rsid w:val="008669A0"/>
    <w:rsid w:val="008738D0"/>
    <w:rsid w:val="008739C2"/>
    <w:rsid w:val="008755DF"/>
    <w:rsid w:val="00875AEA"/>
    <w:rsid w:val="00875F40"/>
    <w:rsid w:val="0088052C"/>
    <w:rsid w:val="00882207"/>
    <w:rsid w:val="008840C0"/>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76BAB"/>
    <w:rsid w:val="00980034"/>
    <w:rsid w:val="00980AF3"/>
    <w:rsid w:val="0098322E"/>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302B"/>
    <w:rsid w:val="00A73C1A"/>
    <w:rsid w:val="00A753DA"/>
    <w:rsid w:val="00A75A81"/>
    <w:rsid w:val="00A767FC"/>
    <w:rsid w:val="00A801E5"/>
    <w:rsid w:val="00A80AE8"/>
    <w:rsid w:val="00A84CBE"/>
    <w:rsid w:val="00A85F23"/>
    <w:rsid w:val="00A87EC1"/>
    <w:rsid w:val="00A90A5E"/>
    <w:rsid w:val="00A9104F"/>
    <w:rsid w:val="00A92A7F"/>
    <w:rsid w:val="00A92B97"/>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1E1A"/>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35D7"/>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5A76"/>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6172"/>
    <w:rsid w:val="00EA645F"/>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081"/>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07B9"/>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F776C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1612</Characters>
  <Lines>13</Lines>
  <Paragraphs>3</Paragraphs>
  <TotalTime>1</TotalTime>
  <ScaleCrop>false</ScaleCrop>
  <LinksUpToDate>false</LinksUpToDate>
  <CharactersWithSpaces>1891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2019-10-10T09:34:00Z</dcterms:created>
  <dc:creator>user_common</dc:creator>
  <cp:lastModifiedBy>独身仙子</cp:lastModifiedBy>
  <cp:lastPrinted>2019-10-10T09:51:00Z</cp:lastPrinted>
  <dcterms:modified xsi:type="dcterms:W3CDTF">2023-10-22T16:40:34Z</dcterms:modified>
  <dc:title>淄博市周村区人民政府文件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