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r>
        <w:rPr>
          <w:rFonts w:eastAsia="华文中宋"/>
          <w:sz w:val="80"/>
          <w:lang/>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-297180</wp:posOffset>
                </wp:positionV>
                <wp:extent cx="2066925" cy="297180"/>
                <wp:effectExtent l="0" t="0" r="0" b="0"/>
                <wp:wrapNone/>
                <wp:docPr id="1" name="文本框 164"/>
                <wp:cNvGraphicFramePr/>
                <a:graphic xmlns:a="http://schemas.openxmlformats.org/drawingml/2006/main">
                  <a:graphicData uri="http://schemas.microsoft.com/office/word/2010/wordprocessingShape">
                    <wps:wsp>
                      <wps:cNvSpPr txBox="true"/>
                      <wps:spPr>
                        <a:xfrm>
                          <a:off x="0" y="0"/>
                          <a:ext cx="2066925" cy="297180"/>
                        </a:xfrm>
                        <a:prstGeom prst="rect">
                          <a:avLst/>
                        </a:prstGeom>
                        <a:noFill/>
                        <a:ln>
                          <a:noFill/>
                        </a:ln>
                      </wps:spPr>
                      <wps:txbx>
                        <w:txbxContent>
                          <w:p>
                            <w:pPr>
                              <w:rPr>
                                <w:rFonts w:hint="eastAsia"/>
                                <w:sz w:val="32"/>
                                <w:szCs w:val="32"/>
                              </w:rPr>
                            </w:pPr>
                            <w:r>
                              <w:rPr>
                                <w:rFonts w:hint="eastAsia"/>
                                <w:sz w:val="32"/>
                                <w:szCs w:val="32"/>
                              </w:rPr>
                              <w:t>ZCDR－2013－0020004</w:t>
                            </w:r>
                          </w:p>
                        </w:txbxContent>
                      </wps:txbx>
                      <wps:bodyPr wrap="square" lIns="0" tIns="0" rIns="0" bIns="0" upright="true"/>
                    </wps:wsp>
                  </a:graphicData>
                </a:graphic>
              </wp:anchor>
            </w:drawing>
          </mc:Choice>
          <mc:Fallback>
            <w:pict>
              <v:shape id="文本框 164" o:spid="_x0000_s1026" o:spt="202" type="#_x0000_t202" style="position:absolute;left:0pt;margin-left:0pt;margin-top:-23.4pt;height:23.4pt;width:162.75pt;z-index:251658240;mso-width-relative:page;mso-height-relative:page;" filled="f" stroked="f" coordsize="21600,21600" o:gfxdata="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jhsITVAAAABQEAAA8AAAAAAAAAAQAgAAAAOAAAAGRycy9kb3ducmV2Lnht&#10;bFBLAQIUABQAAAAIAIdO4kDi/xDKrQEAADoDAAAOAAAAAAAAAAEAIAAAADoBAABkcnMvZTJvRG9j&#10;LnhtbFBLBQYAAAAABgAGAFkBAABZBQAAAAA=&#10;">
                <v:fill on="f" focussize="0,0"/>
                <v:stroke on="f"/>
                <v:imagedata o:title=""/>
                <o:lock v:ext="edit" aspectratio="f"/>
                <v:textbox inset="0mm,0mm,0mm,0mm">
                  <w:txbxContent>
                    <w:p>
                      <w:pPr>
                        <w:rPr>
                          <w:rFonts w:hint="eastAsia"/>
                          <w:sz w:val="32"/>
                          <w:szCs w:val="32"/>
                        </w:rPr>
                      </w:pPr>
                      <w:r>
                        <w:rPr>
                          <w:rFonts w:hint="eastAsia"/>
                          <w:sz w:val="32"/>
                          <w:szCs w:val="32"/>
                        </w:rPr>
                        <w:t>ZCDR－2013－0020004</w:t>
                      </w:r>
                    </w:p>
                  </w:txbxContent>
                </v:textbox>
              </v:shape>
            </w:pict>
          </mc:Fallback>
        </mc:AlternateContent>
      </w:r>
    </w:p>
    <w:p>
      <w:pPr>
        <w:rPr>
          <w:rFonts w:hint="eastAsia" w:eastAsia="华文中宋"/>
          <w:sz w:val="32"/>
        </w:rPr>
      </w:pPr>
    </w:p>
    <w:p>
      <w:pPr>
        <w:pStyle w:val="13"/>
        <w:spacing w:line="600" w:lineRule="exact"/>
        <w:ind w:firstLine="608" w:firstLineChars="200"/>
        <w:jc w:val="both"/>
        <w:rPr>
          <w:rFonts w:hint="eastAsia" w:ascii="Times New Roman" w:hAnsi="Times New Roman" w:eastAsia="仿宋_GB2312"/>
          <w:spacing w:val="-8"/>
          <w:sz w:val="32"/>
        </w:rPr>
      </w:pPr>
    </w:p>
    <w:p>
      <w:pPr>
        <w:spacing w:line="700" w:lineRule="exact"/>
        <w:jc w:val="center"/>
        <w:rPr>
          <w:rFonts w:eastAsia="方正小标宋_GBK"/>
          <w:sz w:val="44"/>
          <w:szCs w:val="44"/>
        </w:rPr>
      </w:pPr>
      <w:r>
        <w:rPr>
          <w:rFonts w:eastAsia="方正小标宋_GBK"/>
          <w:sz w:val="44"/>
          <w:szCs w:val="44"/>
        </w:rPr>
        <w:t>周村区人民政府办公室</w:t>
      </w:r>
    </w:p>
    <w:p>
      <w:pPr>
        <w:adjustRightInd w:val="0"/>
        <w:snapToGrid w:val="0"/>
        <w:spacing w:line="580" w:lineRule="exact"/>
        <w:jc w:val="center"/>
        <w:rPr>
          <w:rFonts w:eastAsia="方正小标宋简体"/>
          <w:bCs/>
          <w:sz w:val="44"/>
          <w:szCs w:val="44"/>
        </w:rPr>
      </w:pPr>
      <w:r>
        <w:rPr>
          <w:rFonts w:eastAsia="方正小标宋简体"/>
          <w:bCs/>
          <w:sz w:val="44"/>
          <w:szCs w:val="44"/>
        </w:rPr>
        <w:t>关于切实做好全区校园安全工作的通知</w:t>
      </w:r>
    </w:p>
    <w:p>
      <w:pPr>
        <w:spacing w:line="600" w:lineRule="exact"/>
        <w:jc w:val="center"/>
        <w:rPr>
          <w:rFonts w:hint="eastAsia" w:eastAsia="仿宋_GB2312"/>
          <w:sz w:val="32"/>
        </w:rPr>
      </w:pPr>
      <w:r>
        <w:rPr>
          <w:rFonts w:hint="eastAsia" w:eastAsia="仿宋_GB2312"/>
          <w:sz w:val="32"/>
        </w:rPr>
        <w:t>周政办发〔2013〕20号</w:t>
      </w:r>
    </w:p>
    <w:p>
      <w:pPr>
        <w:spacing w:line="520" w:lineRule="exact"/>
        <w:jc w:val="center"/>
        <w:rPr>
          <w:rFonts w:eastAsia="方正小标宋_GBK"/>
          <w:sz w:val="44"/>
          <w:szCs w:val="44"/>
        </w:rPr>
      </w:pPr>
      <w:bookmarkStart w:id="0" w:name="_GoBack"/>
      <w:bookmarkEnd w:id="0"/>
    </w:p>
    <w:p>
      <w:pPr>
        <w:adjustRightInd w:val="0"/>
        <w:snapToGrid w:val="0"/>
        <w:spacing w:line="580" w:lineRule="exact"/>
        <w:rPr>
          <w:rFonts w:eastAsia="仿宋_GB2312"/>
          <w:sz w:val="32"/>
          <w:szCs w:val="32"/>
        </w:rPr>
      </w:pPr>
      <w:r>
        <w:rPr>
          <w:rFonts w:eastAsia="仿宋_GB2312"/>
          <w:sz w:val="32"/>
          <w:szCs w:val="32"/>
        </w:rPr>
        <w:t>各镇政府、街道办事处，经济开发区管委会，区政府有关部门：</w:t>
      </w:r>
    </w:p>
    <w:p>
      <w:pPr>
        <w:adjustRightInd w:val="0"/>
        <w:snapToGrid w:val="0"/>
        <w:spacing w:line="580" w:lineRule="exact"/>
        <w:ind w:firstLine="640" w:firstLineChars="200"/>
        <w:rPr>
          <w:rFonts w:eastAsia="仿宋_GB2312"/>
          <w:sz w:val="32"/>
          <w:szCs w:val="32"/>
        </w:rPr>
      </w:pPr>
      <w:r>
        <w:rPr>
          <w:rFonts w:eastAsia="仿宋_GB2312"/>
          <w:sz w:val="32"/>
          <w:szCs w:val="32"/>
        </w:rPr>
        <w:t>为进一步做好全区校园安全工作，根据国务院《校车安全管理条例》、《淄博市人民政府关于印发淄博市学校幼儿园安全管理规定的通知》（淄政发〔2010〕66号）、《淄博市人民政府办公厅关于切实做好全市校园安全工作的通知》（淄政办发〔2013〕2号）精神，通知如下：</w:t>
      </w:r>
    </w:p>
    <w:p>
      <w:pPr>
        <w:adjustRightInd w:val="0"/>
        <w:snapToGrid w:val="0"/>
        <w:spacing w:line="580" w:lineRule="exact"/>
        <w:ind w:firstLine="640" w:firstLineChars="200"/>
        <w:rPr>
          <w:rFonts w:eastAsia="黑体"/>
          <w:sz w:val="32"/>
          <w:szCs w:val="32"/>
        </w:rPr>
      </w:pPr>
      <w:r>
        <w:rPr>
          <w:rFonts w:eastAsia="黑体"/>
          <w:sz w:val="32"/>
          <w:szCs w:val="32"/>
        </w:rPr>
        <w:t>一、认清形势，充分认识校园安全工作的重要性和紧迫性</w:t>
      </w:r>
    </w:p>
    <w:p>
      <w:pPr>
        <w:adjustRightInd w:val="0"/>
        <w:snapToGrid w:val="0"/>
        <w:spacing w:line="580" w:lineRule="exact"/>
        <w:ind w:firstLine="640" w:firstLineChars="200"/>
        <w:rPr>
          <w:rFonts w:eastAsia="仿宋_GB2312"/>
          <w:sz w:val="32"/>
          <w:szCs w:val="32"/>
        </w:rPr>
      </w:pPr>
      <w:r>
        <w:rPr>
          <w:rFonts w:eastAsia="仿宋_GB2312"/>
          <w:sz w:val="32"/>
          <w:szCs w:val="32"/>
        </w:rPr>
        <w:t>保障校园安全是办好人民满意教育的基本要求，也是维护社会稳定的重要内容。各镇、街道、有关部门要充分认识加强校园安全管理工作的重要性和紧迫性，认清当前学校、幼儿园安全管理面临的复杂形势，进一步统一思想，增强维护校园安全及周边安全的责任感、使命感。要深刻吸取各类事故教训，保持高度警觉，持之以恒做好校园安全工作的提前防范和监督管理，坚决避免各类校园安全事故的发生，为少年儿童成长创造平安和谐的良好环境。</w:t>
      </w:r>
    </w:p>
    <w:p>
      <w:pPr>
        <w:adjustRightInd w:val="0"/>
        <w:snapToGrid w:val="0"/>
        <w:spacing w:line="580" w:lineRule="exact"/>
        <w:ind w:firstLine="640" w:firstLineChars="200"/>
        <w:rPr>
          <w:rFonts w:eastAsia="黑体"/>
          <w:sz w:val="32"/>
          <w:szCs w:val="32"/>
        </w:rPr>
      </w:pPr>
      <w:r>
        <w:rPr>
          <w:rFonts w:eastAsia="黑体"/>
          <w:sz w:val="32"/>
          <w:szCs w:val="32"/>
        </w:rPr>
        <w:t>二、突出重点，努力推进校园安全工作开展</w:t>
      </w:r>
    </w:p>
    <w:p>
      <w:pPr>
        <w:adjustRightInd w:val="0"/>
        <w:snapToGrid w:val="0"/>
        <w:spacing w:line="580" w:lineRule="exact"/>
        <w:ind w:firstLine="640" w:firstLineChars="200"/>
        <w:rPr>
          <w:rFonts w:eastAsia="仿宋_GB2312"/>
          <w:sz w:val="32"/>
          <w:szCs w:val="32"/>
        </w:rPr>
      </w:pPr>
      <w:r>
        <w:rPr>
          <w:rFonts w:eastAsia="楷体_GB2312"/>
          <w:sz w:val="32"/>
          <w:szCs w:val="32"/>
        </w:rPr>
        <w:t>（一）强化安全教育和培训。</w:t>
      </w:r>
      <w:r>
        <w:rPr>
          <w:rFonts w:eastAsia="仿宋_GB2312"/>
          <w:sz w:val="32"/>
          <w:szCs w:val="32"/>
        </w:rPr>
        <w:t>要按照《中小学公共安全教育纲要》的要求，开好安全教育课，要结合学生年龄和季节、地域等特点，突出安全教育的针对性和实效性，要定期开展应急疏散演练活动。要重视心理健康教育，积极做好师生心理疏导工作，防止和减少学生因心理疾病而发生的他伤、自伤等事故。教体部门要联合有关部门定期开展各类安全培训，提高安全管理水平和安全防范意识及能力。</w:t>
      </w:r>
    </w:p>
    <w:p>
      <w:pPr>
        <w:adjustRightInd w:val="0"/>
        <w:snapToGrid w:val="0"/>
        <w:spacing w:line="580" w:lineRule="exact"/>
        <w:ind w:firstLine="640" w:firstLineChars="200"/>
        <w:rPr>
          <w:rFonts w:eastAsia="仿宋_GB2312"/>
          <w:sz w:val="32"/>
          <w:szCs w:val="32"/>
        </w:rPr>
      </w:pPr>
      <w:r>
        <w:rPr>
          <w:rFonts w:eastAsia="楷体_GB2312"/>
          <w:sz w:val="32"/>
          <w:szCs w:val="32"/>
        </w:rPr>
        <w:t>（二）规范校园“三防”建设。</w:t>
      </w:r>
      <w:r>
        <w:rPr>
          <w:rFonts w:eastAsia="仿宋_GB2312"/>
          <w:sz w:val="32"/>
          <w:szCs w:val="32"/>
        </w:rPr>
        <w:t>严格落实《学校幼儿园安全监督工作规范》，深入推动2013年“护校安园”行动，按标准化、规范化、信息化的要求加强校园“三防建设”，配齐配强安保及安全管理人员，落实保安人员持证上岗制度，严格校园门卫管理，确保校园保安在岗尽责，落实外来人员接访制度，规范大门出入登记。按照要求配备必要的防卫器械，围墙、门禁等设施达到安全标准，电视监控、紧急报警和周界报警系统等技防设施数量充足、性能完好，并与公安机关联网，电视监控安排人员24小时值守。进一步完善突发事件应急预案，加强对校园突发紧急事件的有效应对。</w:t>
      </w:r>
    </w:p>
    <w:p>
      <w:pPr>
        <w:adjustRightInd w:val="0"/>
        <w:snapToGrid w:val="0"/>
        <w:spacing w:line="580" w:lineRule="exact"/>
        <w:ind w:firstLine="640" w:firstLineChars="200"/>
        <w:rPr>
          <w:rFonts w:eastAsia="仿宋_GB2312"/>
          <w:sz w:val="32"/>
          <w:szCs w:val="32"/>
        </w:rPr>
      </w:pPr>
      <w:r>
        <w:rPr>
          <w:rFonts w:eastAsia="楷体_GB2312"/>
          <w:sz w:val="32"/>
          <w:szCs w:val="32"/>
        </w:rPr>
        <w:t>（三）切实加强校车安全管理。</w:t>
      </w:r>
      <w:r>
        <w:rPr>
          <w:rFonts w:eastAsia="仿宋_GB2312"/>
          <w:sz w:val="32"/>
          <w:szCs w:val="32"/>
        </w:rPr>
        <w:t>全面贯彻国务院《校车安全管理条例》，规范校车及驾驶员准入程序，确保校车和驾驶员准入、变更及时。进一步完善校车安全管理台账，切实做到“一车一档”。充分发挥校车监管平台的作用，要求在学生上下学时段，有专门人员值班，定时、定人监看，实现对校车及其驾驶员的实时监控。加强恶劣天气下应急预案建设，严格雨、雪、雾等恶劣天气下学校交通安全的管理，遇到严重影响交通安全的恶劣天气，学校、幼儿园可以采取校车停运及学校停课、调课等措施，确保校车及学生交通安全。严格落实“六定两点”制度，强化校车管理工作一日流程。加强学生交通安全教育，充分利用班队会、黑板报、校报、校广播等各种形式，引导学生自觉遵守乘车守则，不乘坐超员、超速、非法运营等没有安全保障的车辆。进一步加大监管检查力度，继续加强区综治、教体、交警、交通运输、公安、城管及各镇政府、街道办事处的联合督导检查，形成制度，做到联合监管常态化、规范化，确保行车依规有序安全运营，同时坚决取缔非法接送学生的车辆，确保学生交通安全。</w:t>
      </w:r>
    </w:p>
    <w:p>
      <w:pPr>
        <w:adjustRightInd w:val="0"/>
        <w:snapToGrid w:val="0"/>
        <w:spacing w:line="580" w:lineRule="exact"/>
        <w:ind w:firstLine="640" w:firstLineChars="200"/>
        <w:rPr>
          <w:rFonts w:eastAsia="仿宋_GB2312"/>
          <w:sz w:val="32"/>
          <w:szCs w:val="32"/>
        </w:rPr>
      </w:pPr>
      <w:r>
        <w:rPr>
          <w:rFonts w:eastAsia="楷体_GB2312"/>
          <w:sz w:val="32"/>
          <w:szCs w:val="32"/>
        </w:rPr>
        <w:t>（四）加强校园消防安全管理。</w:t>
      </w:r>
      <w:r>
        <w:rPr>
          <w:rFonts w:eastAsia="仿宋_GB2312"/>
          <w:sz w:val="32"/>
          <w:szCs w:val="32"/>
        </w:rPr>
        <w:t>学校、幼儿园要进一步完善消防安全工作制度，通过积极开展消防安全教育和应急疏散演练，切实提高学生的安全用火、用电意识，火灾隐患排查和应急逃生能力。重点加强对教学楼、食堂、公寓、体育馆等人员聚集区的消防安全管理，确保消防设施设备齐全、完好、有效，疏散通道畅通，防火门、疏散标志、应急照明灯等设备正常完好。要落实消防安全重点部位每日防火巡查制度，对巡查情况完整记录，及时发现并消除安全隐患。学校食堂使用液化气瓶的，要定期对气瓶进行技术检验，杜绝使用过期或检验不合格的气瓶。校园使用煤炉取暖的，要严格落实消防安全管理制度，防止发生火灾和一氧化碳中毒等事故。</w:t>
      </w:r>
    </w:p>
    <w:p>
      <w:pPr>
        <w:adjustRightInd w:val="0"/>
        <w:snapToGrid w:val="0"/>
        <w:spacing w:line="580" w:lineRule="exact"/>
        <w:ind w:firstLine="640" w:firstLineChars="200"/>
        <w:rPr>
          <w:rFonts w:eastAsia="仿宋_GB2312"/>
          <w:sz w:val="32"/>
          <w:szCs w:val="32"/>
        </w:rPr>
      </w:pPr>
      <w:r>
        <w:rPr>
          <w:rFonts w:eastAsia="楷体_GB2312"/>
          <w:sz w:val="32"/>
          <w:szCs w:val="32"/>
        </w:rPr>
        <w:t>（五）切实加强食品安全管理。</w:t>
      </w:r>
      <w:r>
        <w:rPr>
          <w:rFonts w:eastAsia="仿宋_GB2312"/>
          <w:sz w:val="32"/>
          <w:szCs w:val="32"/>
        </w:rPr>
        <w:t>学校为食堂食品安全第一责任人，要严格落实监督检查、从业人员健康管理、进货查验记录和索证索票等管理制度。进一步加强食堂管理，设立专用消毒柜，规范制作流程及食品留样。学校食堂和为学校供餐的餐饮单位必须取得《餐饮服务许可证》，学校要向师生普及食品安全知识，教育学生科学健康饮食，不在路边摊点用餐，倡导科学合理的饮食理念。</w:t>
      </w:r>
    </w:p>
    <w:p>
      <w:pPr>
        <w:adjustRightInd w:val="0"/>
        <w:snapToGrid w:val="0"/>
        <w:spacing w:line="580" w:lineRule="exact"/>
        <w:ind w:firstLine="640" w:firstLineChars="200"/>
        <w:rPr>
          <w:rFonts w:eastAsia="仿宋_GB2312"/>
          <w:sz w:val="32"/>
          <w:szCs w:val="32"/>
        </w:rPr>
      </w:pPr>
      <w:r>
        <w:rPr>
          <w:rFonts w:eastAsia="楷体_GB2312"/>
          <w:sz w:val="32"/>
          <w:szCs w:val="32"/>
        </w:rPr>
        <w:t>（六）加强校园及周边治安综合治理。</w:t>
      </w:r>
      <w:r>
        <w:rPr>
          <w:rFonts w:eastAsia="仿宋_GB2312"/>
          <w:sz w:val="32"/>
          <w:szCs w:val="32"/>
        </w:rPr>
        <w:t>按照“积极预防、依法管理、各负其责”的方针，落实相关部门责任，组织有关部门加强对校园及周边环境的集中整治，做到校园周围200米以内无经营性网吧、电子游戏厅、歌舞厅。学校及周边无违规经营的音像书刊摊点，无销售非法出版物的游商、地摊，无违规经营的饮食摊点和其他摊点，校门外50米内无摆摊设点、占道经营现象。校门出入秩序良好，学校及周边交通标识齐全，合理施划停车区。学校及周边地区无违章建筑，无违规出租房行为，学校及周边流动人口管理规范，定期摸排周边安全隐患。</w:t>
      </w:r>
    </w:p>
    <w:p>
      <w:pPr>
        <w:adjustRightInd w:val="0"/>
        <w:snapToGrid w:val="0"/>
        <w:spacing w:line="580" w:lineRule="exact"/>
        <w:ind w:firstLine="640" w:firstLineChars="200"/>
        <w:rPr>
          <w:rFonts w:eastAsia="黑体"/>
          <w:sz w:val="32"/>
          <w:szCs w:val="32"/>
        </w:rPr>
      </w:pPr>
      <w:r>
        <w:rPr>
          <w:rFonts w:eastAsia="黑体"/>
          <w:sz w:val="32"/>
          <w:szCs w:val="32"/>
        </w:rPr>
        <w:t>三、齐抓共管，全面落实各职能部门责任</w:t>
      </w:r>
    </w:p>
    <w:p>
      <w:pPr>
        <w:adjustRightInd w:val="0"/>
        <w:snapToGrid w:val="0"/>
        <w:spacing w:line="580" w:lineRule="exact"/>
        <w:ind w:firstLine="640" w:firstLineChars="200"/>
        <w:rPr>
          <w:rFonts w:eastAsia="仿宋_GB2312"/>
          <w:sz w:val="32"/>
          <w:szCs w:val="32"/>
        </w:rPr>
      </w:pPr>
      <w:r>
        <w:rPr>
          <w:rFonts w:eastAsia="仿宋_GB2312"/>
          <w:sz w:val="32"/>
          <w:szCs w:val="32"/>
        </w:rPr>
        <w:t>充分发挥政府的主导作用，按照“政府统一领导、部门指导督促、学校具体落实、社会广泛参与”的原则，形成校园安全管理工作合力。</w:t>
      </w:r>
    </w:p>
    <w:p>
      <w:pPr>
        <w:adjustRightInd w:val="0"/>
        <w:snapToGrid w:val="0"/>
        <w:spacing w:line="580" w:lineRule="exact"/>
        <w:ind w:firstLine="640" w:firstLineChars="200"/>
        <w:rPr>
          <w:rFonts w:eastAsia="仿宋_GB2312"/>
          <w:sz w:val="32"/>
          <w:szCs w:val="32"/>
        </w:rPr>
      </w:pPr>
      <w:r>
        <w:rPr>
          <w:rFonts w:eastAsia="仿宋_GB2312"/>
          <w:sz w:val="32"/>
          <w:szCs w:val="32"/>
        </w:rPr>
        <w:t>教体部门要落实校园安全监管主体责任，负责对学校（幼儿园）安全事故进行调查处理，每年对学校（幼儿园）的安全工作进行考评，严格执行安全责任追究制度。指导学校（幼儿园）加强“三防一制”建设，指导并协助学校开展安全工作，督促学校做好安全宣传教育工作，健全校园安全制度，签订相关安全目标责任书。定期进行安全专项检查，积极协调、配合各相关部门做好校园及周边综合整治工作。严格执行校车准入制度，落实校车有奖举报制度，会同相关部门做好校车安全管理工作。严格落实校车管理“六定两点”制度，做好校车监管平台监看工作。落实校车投保及购车补助工作，落实校车安全运营奖励制度。规范教育教学行为，加强对民办培训机构（幼儿园）的监督与管理，依法取缔无证民办培训机构（幼儿园）。</w:t>
      </w:r>
    </w:p>
    <w:p>
      <w:pPr>
        <w:adjustRightInd w:val="0"/>
        <w:snapToGrid w:val="0"/>
        <w:spacing w:line="580" w:lineRule="exact"/>
        <w:ind w:firstLine="640" w:firstLineChars="200"/>
        <w:rPr>
          <w:rFonts w:eastAsia="仿宋_GB2312"/>
          <w:sz w:val="32"/>
          <w:szCs w:val="32"/>
        </w:rPr>
      </w:pPr>
      <w:r>
        <w:rPr>
          <w:rFonts w:eastAsia="仿宋_GB2312"/>
          <w:sz w:val="32"/>
          <w:szCs w:val="32"/>
        </w:rPr>
        <w:t>公安部门要加强对校园人防、物防、技防工作的监督指导，将校园列入治安保卫重点单位，对校园上传的视频信号进行重点巡检，及时处置可能危及校园安全的异常情况。对学校（幼儿园）聘用的专业保安人员要进行严格政治审查和心理测试，开展上岗前专业培训。加强校园及周边地区不稳定因素排查和重点人员稳控工作，全面掌握校园周边肇事肇祸精神病人、有暴力倾向人员等特殊、高危人群，并配合有关部门开展风险评估，落实疏导化解和动态管控措施，防止形成危害。对敲诈勒索、聚众斗殴、寻衅滋事等危害校园安全的各类违法犯罪行为依法严厉打击、及时处置。加强对校园周边出租房屋、流动人口和暂住人口的治安管理，对治安情况复杂的校园增设警务室或报警点，以上下学高峰时段为重点，在校园门口及周边路段巡逻执勤，最大限度地提高校园周边见警率。选派骨干民警担任校园法制辅导员，每月至少到辖区校园开展一次法制宣传教育，监督、指导学校每学期至少开展一次防冲闯、防侵害、防破坏等应急演练，提高师生法律意识、安全防范意识和自我保护能力。</w:t>
      </w:r>
    </w:p>
    <w:p>
      <w:pPr>
        <w:adjustRightInd w:val="0"/>
        <w:snapToGrid w:val="0"/>
        <w:spacing w:line="580" w:lineRule="exact"/>
        <w:ind w:firstLine="640" w:firstLineChars="200"/>
        <w:rPr>
          <w:rFonts w:eastAsia="仿宋_GB2312"/>
          <w:sz w:val="32"/>
          <w:szCs w:val="32"/>
        </w:rPr>
      </w:pPr>
      <w:r>
        <w:rPr>
          <w:rFonts w:eastAsia="仿宋_GB2312"/>
          <w:sz w:val="32"/>
          <w:szCs w:val="32"/>
        </w:rPr>
        <w:t>公安交警部门要在城区主干道沿线的校园设置校园助学岗，上下学期间安排警力疏导交通，保障校园大门及周边道路交通安全有序。会同教体、交通运输部门做好校车准入手续审核，依法查处校车交通违法行为，每学期至少集中开展一次针对接送学生车辆所有人及驾驶人的交通安全宣传教育，每月对校车进行一次安全技术检验，确保车况良好。监督、指导学校以及相关部门设置和维护周边道路交通安全设施，按照职责权限在国省道、城区道路沿线校园门前施划人行横道线，并根据需要设置相应的交通安全警告标志、交通信号灯等交通安全设施。根据实际在学校幼儿园门前道路施划临时停车泊位，在社区内校园门前设定禁停区域，施划禁停标线。</w:t>
      </w:r>
    </w:p>
    <w:p>
      <w:pPr>
        <w:adjustRightInd w:val="0"/>
        <w:snapToGrid w:val="0"/>
        <w:spacing w:line="580" w:lineRule="exact"/>
        <w:ind w:firstLine="640" w:firstLineChars="200"/>
        <w:rPr>
          <w:rFonts w:eastAsia="仿宋_GB2312"/>
          <w:sz w:val="32"/>
          <w:szCs w:val="32"/>
        </w:rPr>
      </w:pPr>
      <w:r>
        <w:rPr>
          <w:rFonts w:eastAsia="仿宋_GB2312"/>
          <w:sz w:val="32"/>
          <w:szCs w:val="32"/>
        </w:rPr>
        <w:t>交通运输部门要调整和优化公交线路，完善公交网络，提高公交客运车辆为学生乘车服务的能力。负责专业道路客运企业营运车辆从事接送学生运营的监督管理。会同有关部门依法取缔非法接送学生车辆。牵头做好农村学校（幼儿园）门前公路交通标志的设置及维护工作。加强公共交通服务体系建设，合理配置客运资源，根据实际制定解决学生（幼儿）上下学交通问题的车辆运营和管理模式，为学生（幼儿）乘车提供方便。</w:t>
      </w:r>
    </w:p>
    <w:p>
      <w:pPr>
        <w:adjustRightInd w:val="0"/>
        <w:snapToGrid w:val="0"/>
        <w:spacing w:line="580" w:lineRule="exact"/>
        <w:ind w:firstLine="640" w:firstLineChars="200"/>
        <w:rPr>
          <w:rFonts w:eastAsia="仿宋_GB2312"/>
          <w:sz w:val="32"/>
          <w:szCs w:val="32"/>
        </w:rPr>
      </w:pPr>
      <w:r>
        <w:rPr>
          <w:rFonts w:eastAsia="仿宋_GB2312"/>
          <w:sz w:val="32"/>
          <w:szCs w:val="32"/>
        </w:rPr>
        <w:t>消防部门、公安各派出所要按照消防监督管理责任分工 ，监督、指导学校、幼儿园按照《建筑设计防火规范》等有关规定，配备安装消防设施和器材，开展校园防火检查，指导辖区内的学校开展消防安全教育和应急疏散逃生演练，进一步提高消防安全“四个能力”建设水平。</w:t>
      </w:r>
    </w:p>
    <w:p>
      <w:pPr>
        <w:adjustRightInd w:val="0"/>
        <w:snapToGrid w:val="0"/>
        <w:spacing w:line="580" w:lineRule="exact"/>
        <w:ind w:firstLine="640" w:firstLineChars="200"/>
        <w:rPr>
          <w:rFonts w:eastAsia="仿宋_GB2312"/>
          <w:sz w:val="32"/>
          <w:szCs w:val="32"/>
        </w:rPr>
      </w:pPr>
      <w:r>
        <w:rPr>
          <w:rFonts w:eastAsia="仿宋_GB2312"/>
          <w:sz w:val="32"/>
          <w:szCs w:val="32"/>
        </w:rPr>
        <w:t>食品药品监管部门要加强对新建、改扩建学校食堂的设计及施工过程的技术指导，严格规范餐饮服务许可受理、现场核查等工作程序。会同教体部门与学校签订食品安全责任书，明确食品安全主体责任。建立学校食堂食品安全诚信档案，完善信用档案体系建设，开展好餐饮安全管理人员每年不少于40小时的餐饮服务食品安全集中培训。加强学校食堂食品安全日常监督管理，会同教体部门在每年春季、秋季开学前后以及中高考期间等重点时段，对学校食堂及用餐配送单位餐饮安全情况进行全面检查，认真排查各类食品安全隐患，严禁采购、贮存、使用亚硝酸盐和非法添加剂，严防食物中毒事故发生。按照《关于加强全市学生小饭桌食品安全监管工作的通知》要求，加快实施学生小饭桌登记制度，落实餐饮安全主体责任，进一步净化学校周边餐饮服务市场秩序。</w:t>
      </w:r>
    </w:p>
    <w:p>
      <w:pPr>
        <w:adjustRightInd w:val="0"/>
        <w:snapToGrid w:val="0"/>
        <w:spacing w:line="580" w:lineRule="exact"/>
        <w:ind w:firstLine="640" w:firstLineChars="200"/>
        <w:rPr>
          <w:rFonts w:eastAsia="仿宋_GB2312"/>
          <w:sz w:val="32"/>
          <w:szCs w:val="32"/>
        </w:rPr>
      </w:pPr>
      <w:r>
        <w:rPr>
          <w:rFonts w:eastAsia="仿宋_GB2312"/>
          <w:sz w:val="32"/>
          <w:szCs w:val="32"/>
        </w:rPr>
        <w:t>文化新闻出版部门要依法禁止在中小学校周围200米范围内设立经营的网吧、歌舞厅等场所，查处互联网服务营业场所接纳未成年人等行为。</w:t>
      </w:r>
    </w:p>
    <w:p>
      <w:pPr>
        <w:adjustRightInd w:val="0"/>
        <w:snapToGrid w:val="0"/>
        <w:spacing w:line="580" w:lineRule="exact"/>
        <w:ind w:firstLine="640" w:firstLineChars="200"/>
        <w:rPr>
          <w:rFonts w:eastAsia="仿宋_GB2312"/>
          <w:sz w:val="32"/>
          <w:szCs w:val="32"/>
        </w:rPr>
      </w:pPr>
      <w:r>
        <w:rPr>
          <w:rFonts w:eastAsia="仿宋_GB2312"/>
          <w:sz w:val="32"/>
          <w:szCs w:val="32"/>
        </w:rPr>
        <w:t>工商部门要依法查处取缔擅自设立的互联网上网服务营业场所。加强对校园周边药品、器械广告内容的审查管理，严厉打击向学生提供“三无”产品、假冒伪劣食品等行为，对无照经营行为坚决予以取缔。</w:t>
      </w:r>
    </w:p>
    <w:p>
      <w:pPr>
        <w:adjustRightInd w:val="0"/>
        <w:snapToGrid w:val="0"/>
        <w:spacing w:line="580" w:lineRule="exact"/>
        <w:ind w:firstLine="640" w:firstLineChars="200"/>
        <w:rPr>
          <w:rFonts w:eastAsia="仿宋_GB2312"/>
          <w:sz w:val="32"/>
          <w:szCs w:val="32"/>
        </w:rPr>
      </w:pPr>
      <w:r>
        <w:rPr>
          <w:rFonts w:eastAsia="仿宋_GB2312"/>
          <w:sz w:val="32"/>
          <w:szCs w:val="32"/>
        </w:rPr>
        <w:t>综治部门要督促公安、交通运输、工商、卫生、文化新闻出版、食品药品监管等有关部门切实履行各自工作职责，进一步强化措施，狠抓工作落实，加强协调配合，形成强大的工作合力。要定期召开联席会议，采取有力措施，及时排查安全隐患，坚持标本兼治，建立长效机制，确保校园及周边治安秩序良好。</w:t>
      </w:r>
    </w:p>
    <w:p>
      <w:pPr>
        <w:adjustRightInd w:val="0"/>
        <w:snapToGrid w:val="0"/>
        <w:spacing w:line="580" w:lineRule="exact"/>
        <w:ind w:firstLine="640" w:firstLineChars="200"/>
        <w:rPr>
          <w:rFonts w:eastAsia="黑体"/>
          <w:sz w:val="32"/>
          <w:szCs w:val="32"/>
        </w:rPr>
      </w:pPr>
      <w:r>
        <w:rPr>
          <w:rFonts w:eastAsia="黑体"/>
          <w:sz w:val="32"/>
          <w:szCs w:val="32"/>
        </w:rPr>
        <w:t>四、规范信息报送，严格落实责任追究制度</w:t>
      </w:r>
    </w:p>
    <w:p>
      <w:pPr>
        <w:adjustRightInd w:val="0"/>
        <w:snapToGrid w:val="0"/>
        <w:spacing w:line="580" w:lineRule="exact"/>
        <w:ind w:firstLine="640" w:firstLineChars="200"/>
        <w:rPr>
          <w:rFonts w:eastAsia="仿宋_GB2312"/>
          <w:sz w:val="32"/>
          <w:szCs w:val="32"/>
        </w:rPr>
      </w:pPr>
      <w:r>
        <w:rPr>
          <w:rFonts w:eastAsia="仿宋_GB2312"/>
          <w:sz w:val="32"/>
          <w:szCs w:val="32"/>
        </w:rPr>
        <w:t>要严格落实校园安全信息报告制度，一旦发生安全事故学校应当在1小时内向教体等有关部门报告，教体部门按照有关规定及时逐级上报，杜绝迟报，漏报和瞒报。按照“属地管理，分工负责，谁办学谁负责，谁审批谁负责”的原则，进一步明确学校对校园安全的主体责任，加强政府部门对校园安全工作的监管责任。对因未依法履行校园安全监督与管理职责，造成重大校园安全责任事故的，实施责任倒查，严肃追究相关部门和有关责任人的责任。对学校、幼儿园因内部安全管理责任不落实、措施不到位而发生重大安全责任事故的，要追究校（园）长和教体部门的责任。</w:t>
      </w:r>
    </w:p>
    <w:p>
      <w:pPr>
        <w:spacing w:line="580" w:lineRule="exact"/>
        <w:ind w:firstLine="640" w:firstLineChars="200"/>
        <w:rPr>
          <w:rFonts w:eastAsia="仿宋_GB2312"/>
          <w:sz w:val="32"/>
          <w:szCs w:val="32"/>
        </w:rPr>
      </w:pPr>
      <w:r>
        <w:rPr>
          <w:rFonts w:eastAsia="仿宋_GB2312"/>
          <w:sz w:val="32"/>
          <w:szCs w:val="32"/>
        </w:rPr>
        <w:t>本通知自公布之日起开始实施，有效期截止到2017年12月31日。</w:t>
      </w:r>
    </w:p>
    <w:p>
      <w:pPr>
        <w:spacing w:line="580" w:lineRule="exact"/>
        <w:ind w:firstLine="632" w:firstLineChars="200"/>
        <w:rPr>
          <w:rFonts w:eastAsia="仿宋_GB2312"/>
          <w:spacing w:val="-2"/>
          <w:sz w:val="32"/>
          <w:szCs w:val="32"/>
        </w:rPr>
      </w:pPr>
    </w:p>
    <w:p>
      <w:pPr>
        <w:spacing w:line="580" w:lineRule="exact"/>
        <w:ind w:firstLine="640" w:firstLineChars="200"/>
        <w:rPr>
          <w:rFonts w:eastAsia="仿宋_GB2312"/>
          <w:sz w:val="32"/>
          <w:szCs w:val="32"/>
        </w:rPr>
      </w:pPr>
    </w:p>
    <w:p>
      <w:pPr>
        <w:tabs>
          <w:tab w:val="left" w:pos="7811"/>
        </w:tabs>
        <w:spacing w:line="580" w:lineRule="exact"/>
        <w:ind w:right="863" w:rightChars="411" w:firstLine="640" w:firstLineChars="200"/>
        <w:jc w:val="right"/>
        <w:rPr>
          <w:rFonts w:eastAsia="仿宋_GB2312"/>
          <w:sz w:val="32"/>
          <w:szCs w:val="32"/>
        </w:rPr>
      </w:pPr>
      <w:r>
        <w:rPr>
          <w:rFonts w:eastAsia="仿宋_GB2312"/>
          <w:sz w:val="32"/>
          <w:szCs w:val="32"/>
        </w:rPr>
        <w:t>周村区人民政府办公室</w:t>
      </w:r>
    </w:p>
    <w:p>
      <w:pPr>
        <w:spacing w:line="580" w:lineRule="exact"/>
        <w:ind w:right="1283" w:rightChars="611" w:firstLine="640" w:firstLineChars="200"/>
        <w:jc w:val="right"/>
        <w:rPr>
          <w:rFonts w:eastAsia="仿宋_GB2312"/>
          <w:sz w:val="32"/>
          <w:szCs w:val="32"/>
        </w:rPr>
      </w:pPr>
      <w:r>
        <w:rPr>
          <w:rFonts w:eastAsia="仿宋_GB2312"/>
          <w:sz w:val="32"/>
          <w:szCs w:val="32"/>
        </w:rPr>
        <w:t>2013年6月</w:t>
      </w:r>
      <w:r>
        <w:rPr>
          <w:rFonts w:hint="eastAsia" w:eastAsia="仿宋_GB2312"/>
          <w:sz w:val="32"/>
          <w:szCs w:val="32"/>
        </w:rPr>
        <w:t>25</w:t>
      </w:r>
      <w:r>
        <w:rPr>
          <w:rFonts w:eastAsia="仿宋_GB2312"/>
          <w:sz w:val="32"/>
          <w:szCs w:val="32"/>
        </w:rPr>
        <w:t>日</w:t>
      </w:r>
    </w:p>
    <w:p>
      <w:pPr>
        <w:pStyle w:val="13"/>
        <w:spacing w:line="200" w:lineRule="exact"/>
        <w:ind w:firstLine="420" w:firstLineChars="200"/>
        <w:jc w:val="both"/>
        <w:rPr>
          <w:rFonts w:hint="eastAsia" w:ascii="Times New Roman" w:hAnsi="Times New Roman" w:eastAsia="仿宋_GB2312"/>
          <w:sz w:val="21"/>
        </w:rPr>
      </w:pPr>
    </w:p>
    <w:p>
      <w:pPr>
        <w:pStyle w:val="13"/>
        <w:spacing w:line="58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340" w:lineRule="exact"/>
        <w:jc w:val="both"/>
        <w:rPr>
          <w:rFonts w:hint="eastAsia"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3"/>
        <w:spacing w:line="340" w:lineRule="exact"/>
        <w:ind w:firstLine="268" w:firstLineChars="100"/>
        <w:jc w:val="both"/>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抄送：区委办，区人大办，区政协办，区纪委办，区人武部，区法院，</w:t>
      </w:r>
    </w:p>
    <w:p>
      <w:pPr>
        <w:pStyle w:val="13"/>
        <w:spacing w:line="340" w:lineRule="exact"/>
        <w:ind w:firstLine="280" w:firstLineChars="100"/>
        <w:jc w:val="both"/>
        <w:rPr>
          <w:rFonts w:hint="eastAsia" w:ascii="Times New Roman" w:hAnsi="Times New Roman" w:eastAsia="仿宋_GB2312"/>
          <w:spacing w:val="-6"/>
          <w:sz w:val="28"/>
          <w:szCs w:val="28"/>
        </w:rPr>
      </w:pPr>
      <w:r>
        <w:rPr>
          <w:rFonts w:hint="eastAsia" w:ascii="Times New Roman" w:hAnsi="Times New Roman" w:eastAsia="仿宋_GB2312"/>
          <w:sz w:val="28"/>
          <w:szCs w:val="28"/>
        </w:rPr>
        <w:t xml:space="preserve">   </w:t>
      </w:r>
      <w:r>
        <w:rPr>
          <w:rFonts w:hint="eastAsia" w:ascii="Times New Roman" w:hAnsi="Times New Roman" w:eastAsia="仿宋_GB2312"/>
          <w:spacing w:val="-6"/>
          <w:sz w:val="28"/>
          <w:szCs w:val="28"/>
        </w:rPr>
        <w:t xml:space="preserve">   区检察院。</w:t>
      </w:r>
    </w:p>
    <w:p>
      <w:pPr>
        <w:pStyle w:val="13"/>
        <w:spacing w:line="340" w:lineRule="exact"/>
        <w:jc w:val="both"/>
        <w:rPr>
          <w:rFonts w:hint="eastAsia" w:ascii="Times New Roman" w:hAnsi="Times New Roman" w:eastAsia="仿宋_GB2312"/>
          <w:spacing w:val="-16"/>
          <w:sz w:val="30"/>
        </w:rPr>
      </w:pPr>
      <w:r>
        <w:rPr>
          <w:rFonts w:ascii="Times New Roman" w:hAnsi="Times New Roman" w:eastAsia="仿宋_GB2312"/>
          <w:spacing w:val="-16"/>
          <w:sz w:val="30"/>
        </w:rPr>
        <w:t>———————————————————————————————</w:t>
      </w:r>
    </w:p>
    <w:p>
      <w:pPr>
        <w:pStyle w:val="13"/>
        <w:spacing w:line="340" w:lineRule="exact"/>
        <w:ind w:firstLine="280" w:firstLineChars="100"/>
        <w:jc w:val="both"/>
        <w:rPr>
          <w:rFonts w:hint="eastAsia" w:ascii="Times New Roman" w:hAnsi="Times New Roman" w:eastAsia="仿宋_GB2312"/>
          <w:sz w:val="28"/>
          <w:szCs w:val="28"/>
        </w:rPr>
      </w:pPr>
      <w:r>
        <w:rPr>
          <w:rFonts w:hint="eastAsia" w:ascii="Times New Roman" w:hAnsi="Times New Roman" w:eastAsia="仿宋_GB2312"/>
          <w:sz w:val="28"/>
          <w:szCs w:val="28"/>
        </w:rPr>
        <w:t>周村区人民政府办公室                   2013年7月1日印发</w:t>
      </w:r>
    </w:p>
    <w:p>
      <w:pPr>
        <w:pStyle w:val="13"/>
        <w:spacing w:line="340" w:lineRule="exact"/>
        <w:jc w:val="both"/>
        <w:rPr>
          <w:rFonts w:hint="eastAsia" w:ascii="Times New Roman" w:hAnsi="Times New Roman" w:eastAsia="仿宋_GB2312"/>
          <w:b/>
          <w:spacing w:val="-16"/>
          <w:sz w:val="30"/>
        </w:rPr>
      </w:pPr>
      <w:r>
        <w:rPr>
          <w:rFonts w:ascii="Times New Roman" w:hAnsi="Times New Roman" w:eastAsia="仿宋_GB2312"/>
          <w:b/>
          <w:spacing w:val="-16"/>
          <w:sz w:val="30"/>
        </w:rPr>
        <w:t>———————————————————————————————</w:t>
      </w:r>
    </w:p>
    <w:sectPr>
      <w:headerReference r:id="rId3" w:type="default"/>
      <w:footerReference r:id="rId4" w:type="default"/>
      <w:footerReference r:id="rId5" w:type="even"/>
      <w:pgSz w:w="11907" w:h="16840"/>
      <w:pgMar w:top="2041" w:right="1531" w:bottom="1701"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1997" w:wrap="around" w:vAnchor="text" w:hAnchor="margin" w:xAlign="outside" w:yAlign="top"/>
      <w:ind w:right="265" w:rightChars="126" w:firstLine="322" w:firstLineChars="115"/>
      <w:rPr>
        <w:rStyle w:val="20"/>
        <w:rFonts w:hint="eastAsia"/>
        <w:sz w:val="28"/>
        <w:szCs w:val="28"/>
      </w:rPr>
    </w:pPr>
    <w:r>
      <w:rPr>
        <w:rStyle w:val="20"/>
        <w:rFonts w:hint="eastAsia"/>
        <w:sz w:val="28"/>
        <w:szCs w:val="28"/>
      </w:rPr>
      <w:t xml:space="preserve">—  </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lang/>
      </w:rPr>
      <w:t>1</w:t>
    </w:r>
    <w:r>
      <w:rPr>
        <w:rStyle w:val="20"/>
        <w:sz w:val="28"/>
        <w:szCs w:val="28"/>
      </w:rPr>
      <w:fldChar w:fldCharType="end"/>
    </w:r>
    <w:r>
      <w:rPr>
        <w:rStyle w:val="20"/>
        <w:rFonts w:hint="eastAsia"/>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10671"/>
    <w:rsid w:val="0001346B"/>
    <w:rsid w:val="000135F1"/>
    <w:rsid w:val="00014696"/>
    <w:rsid w:val="00015E27"/>
    <w:rsid w:val="00016E8F"/>
    <w:rsid w:val="00022766"/>
    <w:rsid w:val="0002304B"/>
    <w:rsid w:val="00031098"/>
    <w:rsid w:val="00032AD0"/>
    <w:rsid w:val="00036EAB"/>
    <w:rsid w:val="00045CDE"/>
    <w:rsid w:val="0005319A"/>
    <w:rsid w:val="00054A13"/>
    <w:rsid w:val="00055D5E"/>
    <w:rsid w:val="00057880"/>
    <w:rsid w:val="00063B41"/>
    <w:rsid w:val="00071FF8"/>
    <w:rsid w:val="00076091"/>
    <w:rsid w:val="000824D9"/>
    <w:rsid w:val="00082A33"/>
    <w:rsid w:val="00083916"/>
    <w:rsid w:val="000A5E94"/>
    <w:rsid w:val="000B4022"/>
    <w:rsid w:val="000B7218"/>
    <w:rsid w:val="000C373C"/>
    <w:rsid w:val="000C4AF5"/>
    <w:rsid w:val="000C7FAD"/>
    <w:rsid w:val="000D0F60"/>
    <w:rsid w:val="000D51B8"/>
    <w:rsid w:val="000E5775"/>
    <w:rsid w:val="000E6397"/>
    <w:rsid w:val="000F03F4"/>
    <w:rsid w:val="000F3E2E"/>
    <w:rsid w:val="000F3FB2"/>
    <w:rsid w:val="000F5F93"/>
    <w:rsid w:val="0012293C"/>
    <w:rsid w:val="00130BEF"/>
    <w:rsid w:val="00131265"/>
    <w:rsid w:val="00136F65"/>
    <w:rsid w:val="00137CCD"/>
    <w:rsid w:val="0014526F"/>
    <w:rsid w:val="001503B6"/>
    <w:rsid w:val="00161B14"/>
    <w:rsid w:val="001643E6"/>
    <w:rsid w:val="00165C4F"/>
    <w:rsid w:val="00187F8C"/>
    <w:rsid w:val="00195E56"/>
    <w:rsid w:val="00197E2F"/>
    <w:rsid w:val="001A1E71"/>
    <w:rsid w:val="001A700D"/>
    <w:rsid w:val="001B0AA5"/>
    <w:rsid w:val="001B1F5C"/>
    <w:rsid w:val="001B2169"/>
    <w:rsid w:val="001B7D0A"/>
    <w:rsid w:val="001C5EB0"/>
    <w:rsid w:val="001D6977"/>
    <w:rsid w:val="001E69FC"/>
    <w:rsid w:val="001E7789"/>
    <w:rsid w:val="001F186D"/>
    <w:rsid w:val="001F1EF0"/>
    <w:rsid w:val="001F2752"/>
    <w:rsid w:val="001F31D3"/>
    <w:rsid w:val="001F4624"/>
    <w:rsid w:val="001F5000"/>
    <w:rsid w:val="00203696"/>
    <w:rsid w:val="002058C2"/>
    <w:rsid w:val="002071AD"/>
    <w:rsid w:val="002078A3"/>
    <w:rsid w:val="00212F6D"/>
    <w:rsid w:val="0021761B"/>
    <w:rsid w:val="0022474A"/>
    <w:rsid w:val="00226E61"/>
    <w:rsid w:val="00227683"/>
    <w:rsid w:val="002441FE"/>
    <w:rsid w:val="0025116E"/>
    <w:rsid w:val="002519AC"/>
    <w:rsid w:val="00252608"/>
    <w:rsid w:val="00252977"/>
    <w:rsid w:val="00256279"/>
    <w:rsid w:val="00264A0B"/>
    <w:rsid w:val="0026633E"/>
    <w:rsid w:val="00266DF4"/>
    <w:rsid w:val="002700E9"/>
    <w:rsid w:val="0027036E"/>
    <w:rsid w:val="00274219"/>
    <w:rsid w:val="00274CBD"/>
    <w:rsid w:val="00276481"/>
    <w:rsid w:val="00280513"/>
    <w:rsid w:val="00281671"/>
    <w:rsid w:val="00287576"/>
    <w:rsid w:val="00294D1B"/>
    <w:rsid w:val="002A3128"/>
    <w:rsid w:val="002A336E"/>
    <w:rsid w:val="002A52B4"/>
    <w:rsid w:val="002A79B0"/>
    <w:rsid w:val="002A7E7A"/>
    <w:rsid w:val="002B08E1"/>
    <w:rsid w:val="002B0F3B"/>
    <w:rsid w:val="002B64CB"/>
    <w:rsid w:val="002C382E"/>
    <w:rsid w:val="002C404D"/>
    <w:rsid w:val="002D051D"/>
    <w:rsid w:val="002D20A1"/>
    <w:rsid w:val="002D58A0"/>
    <w:rsid w:val="002D656B"/>
    <w:rsid w:val="002E0BE0"/>
    <w:rsid w:val="00301E14"/>
    <w:rsid w:val="0030594C"/>
    <w:rsid w:val="00307961"/>
    <w:rsid w:val="00315AB1"/>
    <w:rsid w:val="00320951"/>
    <w:rsid w:val="0032321D"/>
    <w:rsid w:val="00334E88"/>
    <w:rsid w:val="00342224"/>
    <w:rsid w:val="00342BAF"/>
    <w:rsid w:val="00344A87"/>
    <w:rsid w:val="00346708"/>
    <w:rsid w:val="00346ECE"/>
    <w:rsid w:val="00351851"/>
    <w:rsid w:val="003556C3"/>
    <w:rsid w:val="00355A77"/>
    <w:rsid w:val="0036571C"/>
    <w:rsid w:val="00365FC6"/>
    <w:rsid w:val="00367B04"/>
    <w:rsid w:val="00370424"/>
    <w:rsid w:val="0037106D"/>
    <w:rsid w:val="00372BF4"/>
    <w:rsid w:val="00373250"/>
    <w:rsid w:val="003806B5"/>
    <w:rsid w:val="003871D6"/>
    <w:rsid w:val="00390943"/>
    <w:rsid w:val="003917C0"/>
    <w:rsid w:val="00392228"/>
    <w:rsid w:val="003B1830"/>
    <w:rsid w:val="003B4B4F"/>
    <w:rsid w:val="003C530C"/>
    <w:rsid w:val="003D6E3F"/>
    <w:rsid w:val="003E06AC"/>
    <w:rsid w:val="003E2A28"/>
    <w:rsid w:val="003E3BF0"/>
    <w:rsid w:val="003E573D"/>
    <w:rsid w:val="003E6225"/>
    <w:rsid w:val="003F0648"/>
    <w:rsid w:val="003F1EE2"/>
    <w:rsid w:val="003F1FF7"/>
    <w:rsid w:val="003F24A9"/>
    <w:rsid w:val="003F4DCC"/>
    <w:rsid w:val="003F6366"/>
    <w:rsid w:val="004046EA"/>
    <w:rsid w:val="0040577A"/>
    <w:rsid w:val="004119A3"/>
    <w:rsid w:val="00415B01"/>
    <w:rsid w:val="0042171F"/>
    <w:rsid w:val="004316A3"/>
    <w:rsid w:val="00432E3C"/>
    <w:rsid w:val="00443EB7"/>
    <w:rsid w:val="0045042A"/>
    <w:rsid w:val="00455406"/>
    <w:rsid w:val="00462FE4"/>
    <w:rsid w:val="00474B0F"/>
    <w:rsid w:val="00484DC2"/>
    <w:rsid w:val="004861DE"/>
    <w:rsid w:val="00486BD0"/>
    <w:rsid w:val="004921D0"/>
    <w:rsid w:val="0049323D"/>
    <w:rsid w:val="0049724F"/>
    <w:rsid w:val="004A3DFE"/>
    <w:rsid w:val="004B2BDB"/>
    <w:rsid w:val="004B3437"/>
    <w:rsid w:val="004D30D5"/>
    <w:rsid w:val="004D3AC8"/>
    <w:rsid w:val="004D4D3A"/>
    <w:rsid w:val="004E1173"/>
    <w:rsid w:val="004F20A9"/>
    <w:rsid w:val="004F4D85"/>
    <w:rsid w:val="004F6527"/>
    <w:rsid w:val="00507509"/>
    <w:rsid w:val="00514BB8"/>
    <w:rsid w:val="005161FD"/>
    <w:rsid w:val="00521742"/>
    <w:rsid w:val="00522A44"/>
    <w:rsid w:val="005250FC"/>
    <w:rsid w:val="00531E9A"/>
    <w:rsid w:val="005328E6"/>
    <w:rsid w:val="0054151F"/>
    <w:rsid w:val="005538C1"/>
    <w:rsid w:val="00556A20"/>
    <w:rsid w:val="00557585"/>
    <w:rsid w:val="00563855"/>
    <w:rsid w:val="00563B45"/>
    <w:rsid w:val="00564EC5"/>
    <w:rsid w:val="0057162C"/>
    <w:rsid w:val="005738E1"/>
    <w:rsid w:val="005814E2"/>
    <w:rsid w:val="005829C6"/>
    <w:rsid w:val="00592555"/>
    <w:rsid w:val="005966F8"/>
    <w:rsid w:val="005C2177"/>
    <w:rsid w:val="005D09A5"/>
    <w:rsid w:val="005D2B3E"/>
    <w:rsid w:val="005D3A85"/>
    <w:rsid w:val="005D3BF4"/>
    <w:rsid w:val="005D54EE"/>
    <w:rsid w:val="005E06DC"/>
    <w:rsid w:val="005E0D8A"/>
    <w:rsid w:val="005E1413"/>
    <w:rsid w:val="005E25FE"/>
    <w:rsid w:val="005E5791"/>
    <w:rsid w:val="005F221D"/>
    <w:rsid w:val="00603E81"/>
    <w:rsid w:val="00603F31"/>
    <w:rsid w:val="00605522"/>
    <w:rsid w:val="00610A85"/>
    <w:rsid w:val="00612A02"/>
    <w:rsid w:val="00612E1E"/>
    <w:rsid w:val="006226EF"/>
    <w:rsid w:val="0062539A"/>
    <w:rsid w:val="00626E1F"/>
    <w:rsid w:val="00634C10"/>
    <w:rsid w:val="00636652"/>
    <w:rsid w:val="006370F6"/>
    <w:rsid w:val="006515FB"/>
    <w:rsid w:val="00670FF1"/>
    <w:rsid w:val="00672A9F"/>
    <w:rsid w:val="00676DD7"/>
    <w:rsid w:val="00687BDB"/>
    <w:rsid w:val="00695C57"/>
    <w:rsid w:val="00696A97"/>
    <w:rsid w:val="006A3648"/>
    <w:rsid w:val="006A3882"/>
    <w:rsid w:val="006A4F69"/>
    <w:rsid w:val="006B168C"/>
    <w:rsid w:val="006B1FB5"/>
    <w:rsid w:val="006B49E7"/>
    <w:rsid w:val="006B67B5"/>
    <w:rsid w:val="006B7C49"/>
    <w:rsid w:val="006C52F4"/>
    <w:rsid w:val="006C6EA8"/>
    <w:rsid w:val="006D23E4"/>
    <w:rsid w:val="00706925"/>
    <w:rsid w:val="00711A40"/>
    <w:rsid w:val="0072098A"/>
    <w:rsid w:val="007250E3"/>
    <w:rsid w:val="0072555D"/>
    <w:rsid w:val="0072579E"/>
    <w:rsid w:val="00726BBC"/>
    <w:rsid w:val="00743619"/>
    <w:rsid w:val="00744170"/>
    <w:rsid w:val="007462F9"/>
    <w:rsid w:val="00747EB0"/>
    <w:rsid w:val="0075488F"/>
    <w:rsid w:val="00754E58"/>
    <w:rsid w:val="00774420"/>
    <w:rsid w:val="00774DFD"/>
    <w:rsid w:val="007906F3"/>
    <w:rsid w:val="00790C64"/>
    <w:rsid w:val="007A2B21"/>
    <w:rsid w:val="007B22BE"/>
    <w:rsid w:val="007C06F4"/>
    <w:rsid w:val="007C5E6A"/>
    <w:rsid w:val="007D2C14"/>
    <w:rsid w:val="007E51DE"/>
    <w:rsid w:val="007F4B7C"/>
    <w:rsid w:val="008021B3"/>
    <w:rsid w:val="00805914"/>
    <w:rsid w:val="00805980"/>
    <w:rsid w:val="00811F46"/>
    <w:rsid w:val="00813A19"/>
    <w:rsid w:val="0081648C"/>
    <w:rsid w:val="0084687A"/>
    <w:rsid w:val="008476AE"/>
    <w:rsid w:val="00850207"/>
    <w:rsid w:val="00855057"/>
    <w:rsid w:val="00855DB1"/>
    <w:rsid w:val="00857DBE"/>
    <w:rsid w:val="00863277"/>
    <w:rsid w:val="00875F40"/>
    <w:rsid w:val="0088052C"/>
    <w:rsid w:val="00893530"/>
    <w:rsid w:val="008A12DA"/>
    <w:rsid w:val="008A3936"/>
    <w:rsid w:val="008A55E1"/>
    <w:rsid w:val="008B0592"/>
    <w:rsid w:val="008B676D"/>
    <w:rsid w:val="008B7A8F"/>
    <w:rsid w:val="008C2256"/>
    <w:rsid w:val="008C524D"/>
    <w:rsid w:val="008C7EEF"/>
    <w:rsid w:val="008D73C5"/>
    <w:rsid w:val="008E3329"/>
    <w:rsid w:val="008E7A5E"/>
    <w:rsid w:val="008F2E02"/>
    <w:rsid w:val="008F753C"/>
    <w:rsid w:val="0092174F"/>
    <w:rsid w:val="00924E22"/>
    <w:rsid w:val="00927BD8"/>
    <w:rsid w:val="00933F28"/>
    <w:rsid w:val="00945095"/>
    <w:rsid w:val="00951E23"/>
    <w:rsid w:val="00952440"/>
    <w:rsid w:val="00960909"/>
    <w:rsid w:val="00960B3E"/>
    <w:rsid w:val="00967685"/>
    <w:rsid w:val="00980A3F"/>
    <w:rsid w:val="0099111A"/>
    <w:rsid w:val="00991387"/>
    <w:rsid w:val="0099244B"/>
    <w:rsid w:val="00994B1E"/>
    <w:rsid w:val="009A03B3"/>
    <w:rsid w:val="009A5B0F"/>
    <w:rsid w:val="009A7709"/>
    <w:rsid w:val="009A7F18"/>
    <w:rsid w:val="009B35A3"/>
    <w:rsid w:val="009B5241"/>
    <w:rsid w:val="009B5DB6"/>
    <w:rsid w:val="009B76A8"/>
    <w:rsid w:val="009C65A0"/>
    <w:rsid w:val="009D54B2"/>
    <w:rsid w:val="009E6F45"/>
    <w:rsid w:val="009F107D"/>
    <w:rsid w:val="009F4452"/>
    <w:rsid w:val="009F5DC6"/>
    <w:rsid w:val="009F5EFB"/>
    <w:rsid w:val="00A052F4"/>
    <w:rsid w:val="00A074D2"/>
    <w:rsid w:val="00A144BF"/>
    <w:rsid w:val="00A20243"/>
    <w:rsid w:val="00A22BC2"/>
    <w:rsid w:val="00A35DD0"/>
    <w:rsid w:val="00A47F65"/>
    <w:rsid w:val="00A51DEE"/>
    <w:rsid w:val="00A5238C"/>
    <w:rsid w:val="00A55C9C"/>
    <w:rsid w:val="00A600AC"/>
    <w:rsid w:val="00A7030C"/>
    <w:rsid w:val="00A705D5"/>
    <w:rsid w:val="00A720B3"/>
    <w:rsid w:val="00A73C1A"/>
    <w:rsid w:val="00A801E5"/>
    <w:rsid w:val="00A80AE8"/>
    <w:rsid w:val="00A82275"/>
    <w:rsid w:val="00A85F23"/>
    <w:rsid w:val="00A90A5E"/>
    <w:rsid w:val="00A9104F"/>
    <w:rsid w:val="00A92A7F"/>
    <w:rsid w:val="00AA03D8"/>
    <w:rsid w:val="00AA57B3"/>
    <w:rsid w:val="00AB44EA"/>
    <w:rsid w:val="00AB6FDE"/>
    <w:rsid w:val="00AC002E"/>
    <w:rsid w:val="00AC01C1"/>
    <w:rsid w:val="00AC2F45"/>
    <w:rsid w:val="00AC4F29"/>
    <w:rsid w:val="00AC6194"/>
    <w:rsid w:val="00AD2BAC"/>
    <w:rsid w:val="00AD3B73"/>
    <w:rsid w:val="00AE30D7"/>
    <w:rsid w:val="00AE7D6D"/>
    <w:rsid w:val="00AF0EAD"/>
    <w:rsid w:val="00AF2CF7"/>
    <w:rsid w:val="00AF3674"/>
    <w:rsid w:val="00AF5EFF"/>
    <w:rsid w:val="00AF6838"/>
    <w:rsid w:val="00B003B4"/>
    <w:rsid w:val="00B00651"/>
    <w:rsid w:val="00B0617E"/>
    <w:rsid w:val="00B06C76"/>
    <w:rsid w:val="00B13CCA"/>
    <w:rsid w:val="00B14E3C"/>
    <w:rsid w:val="00B1710E"/>
    <w:rsid w:val="00B261FE"/>
    <w:rsid w:val="00B3231D"/>
    <w:rsid w:val="00B40491"/>
    <w:rsid w:val="00B445EC"/>
    <w:rsid w:val="00B46E40"/>
    <w:rsid w:val="00B510A2"/>
    <w:rsid w:val="00B55CC6"/>
    <w:rsid w:val="00B61F76"/>
    <w:rsid w:val="00B6457A"/>
    <w:rsid w:val="00B6508F"/>
    <w:rsid w:val="00B70427"/>
    <w:rsid w:val="00B741D7"/>
    <w:rsid w:val="00B77C95"/>
    <w:rsid w:val="00B9568E"/>
    <w:rsid w:val="00BA3AAE"/>
    <w:rsid w:val="00BC4B26"/>
    <w:rsid w:val="00BC542A"/>
    <w:rsid w:val="00BC6CE7"/>
    <w:rsid w:val="00BD4206"/>
    <w:rsid w:val="00BE213F"/>
    <w:rsid w:val="00BE4EFA"/>
    <w:rsid w:val="00C004ED"/>
    <w:rsid w:val="00C05136"/>
    <w:rsid w:val="00C0704E"/>
    <w:rsid w:val="00C22D38"/>
    <w:rsid w:val="00C34979"/>
    <w:rsid w:val="00C404DF"/>
    <w:rsid w:val="00C42DB5"/>
    <w:rsid w:val="00C4447C"/>
    <w:rsid w:val="00C5544D"/>
    <w:rsid w:val="00C55AFB"/>
    <w:rsid w:val="00C57CB9"/>
    <w:rsid w:val="00C57D9F"/>
    <w:rsid w:val="00C62C3A"/>
    <w:rsid w:val="00C650DB"/>
    <w:rsid w:val="00C74437"/>
    <w:rsid w:val="00C8770B"/>
    <w:rsid w:val="00C90EE1"/>
    <w:rsid w:val="00CA2139"/>
    <w:rsid w:val="00CB51F9"/>
    <w:rsid w:val="00CB7F80"/>
    <w:rsid w:val="00CC5DA1"/>
    <w:rsid w:val="00CC79BC"/>
    <w:rsid w:val="00CD456C"/>
    <w:rsid w:val="00CE1B5A"/>
    <w:rsid w:val="00CE5F33"/>
    <w:rsid w:val="00CF1117"/>
    <w:rsid w:val="00CF6FC6"/>
    <w:rsid w:val="00D014F3"/>
    <w:rsid w:val="00D04F4E"/>
    <w:rsid w:val="00D10BE5"/>
    <w:rsid w:val="00D42F10"/>
    <w:rsid w:val="00D52BC2"/>
    <w:rsid w:val="00D5386A"/>
    <w:rsid w:val="00D63DE6"/>
    <w:rsid w:val="00D64982"/>
    <w:rsid w:val="00D652D3"/>
    <w:rsid w:val="00D65DD7"/>
    <w:rsid w:val="00D75707"/>
    <w:rsid w:val="00D75986"/>
    <w:rsid w:val="00D83C90"/>
    <w:rsid w:val="00D8725B"/>
    <w:rsid w:val="00D8737C"/>
    <w:rsid w:val="00D9016B"/>
    <w:rsid w:val="00D950C7"/>
    <w:rsid w:val="00DA1C2A"/>
    <w:rsid w:val="00DA54D4"/>
    <w:rsid w:val="00DC2899"/>
    <w:rsid w:val="00DC315D"/>
    <w:rsid w:val="00DC547D"/>
    <w:rsid w:val="00DD193E"/>
    <w:rsid w:val="00DD5225"/>
    <w:rsid w:val="00DE1A80"/>
    <w:rsid w:val="00DE5F6C"/>
    <w:rsid w:val="00DE7F62"/>
    <w:rsid w:val="00DF0EA0"/>
    <w:rsid w:val="00E0083A"/>
    <w:rsid w:val="00E0155D"/>
    <w:rsid w:val="00E029C5"/>
    <w:rsid w:val="00E02A00"/>
    <w:rsid w:val="00E06DBF"/>
    <w:rsid w:val="00E1337A"/>
    <w:rsid w:val="00E17280"/>
    <w:rsid w:val="00E22888"/>
    <w:rsid w:val="00E26553"/>
    <w:rsid w:val="00E2745C"/>
    <w:rsid w:val="00E353DB"/>
    <w:rsid w:val="00E355E3"/>
    <w:rsid w:val="00E45C8E"/>
    <w:rsid w:val="00E53270"/>
    <w:rsid w:val="00E55E80"/>
    <w:rsid w:val="00E56A7D"/>
    <w:rsid w:val="00E640B6"/>
    <w:rsid w:val="00E7148E"/>
    <w:rsid w:val="00E82777"/>
    <w:rsid w:val="00E908C7"/>
    <w:rsid w:val="00E908CA"/>
    <w:rsid w:val="00E9180F"/>
    <w:rsid w:val="00EA2767"/>
    <w:rsid w:val="00EA6D4F"/>
    <w:rsid w:val="00EB12D7"/>
    <w:rsid w:val="00EB2F66"/>
    <w:rsid w:val="00EB652D"/>
    <w:rsid w:val="00EC0B26"/>
    <w:rsid w:val="00EC5B5B"/>
    <w:rsid w:val="00EC7127"/>
    <w:rsid w:val="00ED1898"/>
    <w:rsid w:val="00ED48DE"/>
    <w:rsid w:val="00ED5267"/>
    <w:rsid w:val="00EE01D7"/>
    <w:rsid w:val="00EE0AA1"/>
    <w:rsid w:val="00EE1454"/>
    <w:rsid w:val="00EF0807"/>
    <w:rsid w:val="00EF0835"/>
    <w:rsid w:val="00EF229B"/>
    <w:rsid w:val="00F00EF9"/>
    <w:rsid w:val="00F0277A"/>
    <w:rsid w:val="00F1288F"/>
    <w:rsid w:val="00F13F72"/>
    <w:rsid w:val="00F14BC4"/>
    <w:rsid w:val="00F2218D"/>
    <w:rsid w:val="00F24A73"/>
    <w:rsid w:val="00F32245"/>
    <w:rsid w:val="00F374BD"/>
    <w:rsid w:val="00F4010E"/>
    <w:rsid w:val="00F44566"/>
    <w:rsid w:val="00F46215"/>
    <w:rsid w:val="00F46371"/>
    <w:rsid w:val="00F52F3B"/>
    <w:rsid w:val="00F53983"/>
    <w:rsid w:val="00F55637"/>
    <w:rsid w:val="00F57BA4"/>
    <w:rsid w:val="00F57F31"/>
    <w:rsid w:val="00F627D0"/>
    <w:rsid w:val="00F66CFD"/>
    <w:rsid w:val="00F711CE"/>
    <w:rsid w:val="00F91BAE"/>
    <w:rsid w:val="00F956D4"/>
    <w:rsid w:val="00F96002"/>
    <w:rsid w:val="00FA1DBB"/>
    <w:rsid w:val="00FA3609"/>
    <w:rsid w:val="00FA3D5C"/>
    <w:rsid w:val="00FB1029"/>
    <w:rsid w:val="00FB3221"/>
    <w:rsid w:val="00FB603B"/>
    <w:rsid w:val="00FC4F6C"/>
    <w:rsid w:val="00FC761F"/>
    <w:rsid w:val="00FC7A3C"/>
    <w:rsid w:val="00FD631C"/>
    <w:rsid w:val="00FD6EAB"/>
    <w:rsid w:val="00FE17AB"/>
    <w:rsid w:val="00FE2A92"/>
    <w:rsid w:val="00FE7697"/>
    <w:rsid w:val="00FE7C7C"/>
    <w:rsid w:val="00FF189F"/>
    <w:rsid w:val="00FF69D3"/>
    <w:rsid w:val="1FFA6135"/>
    <w:rsid w:val="79E74DCE"/>
    <w:rsid w:val="7DBEEB33"/>
    <w:rsid w:val="7FBEE956"/>
    <w:rsid w:val="AFEAF358"/>
    <w:rsid w:val="B68B521F"/>
    <w:rsid w:val="FF7F87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17">
    <w:name w:val="Default Paragraph Font"/>
    <w:link w:val="18"/>
    <w:semiHidden/>
    <w:uiPriority w:val="0"/>
  </w:style>
  <w:style w:type="table" w:default="1" w:styleId="15">
    <w:name w:val="Normal Table"/>
    <w:semiHidden/>
    <w:uiPriority w:val="0"/>
    <w:tblPr>
      <w:tblStyle w:val="15"/>
      <w:tblCellMar>
        <w:top w:w="0" w:type="dxa"/>
        <w:left w:w="108" w:type="dxa"/>
        <w:bottom w:w="0" w:type="dxa"/>
        <w:right w:w="108" w:type="dxa"/>
      </w:tblCellMar>
    </w:tblPr>
    <w:trPr>
      <w:wBefore w:w="0" w:type="dxa"/>
    </w:trPr>
  </w:style>
  <w:style w:type="paragraph" w:styleId="2">
    <w:name w:val="Document Map"/>
    <w:basedOn w:val="1"/>
    <w:semiHidden/>
    <w:uiPriority w:val="0"/>
    <w:pPr>
      <w:shd w:val="clear" w:color="auto" w:fill="000080"/>
    </w:pPr>
  </w:style>
  <w:style w:type="paragraph" w:styleId="3">
    <w:name w:val="Body Text 3"/>
    <w:basedOn w:val="1"/>
    <w:uiPriority w:val="0"/>
    <w:pPr>
      <w:spacing w:line="600" w:lineRule="exact"/>
    </w:pPr>
    <w:rPr>
      <w:rFonts w:eastAsia="仿宋_GB2312"/>
      <w:sz w:val="32"/>
    </w:rPr>
  </w:style>
  <w:style w:type="paragraph" w:styleId="4">
    <w:name w:val="Body Text"/>
    <w:basedOn w:val="1"/>
    <w:uiPriority w:val="0"/>
    <w:rPr>
      <w:rFonts w:eastAsia="华文中宋"/>
      <w:w w:val="52"/>
      <w:sz w:val="144"/>
    </w:rPr>
  </w:style>
  <w:style w:type="paragraph" w:styleId="5">
    <w:name w:val="Body Text Indent"/>
    <w:basedOn w:val="1"/>
    <w:uiPriority w:val="0"/>
    <w:pPr>
      <w:spacing w:line="700" w:lineRule="exact"/>
      <w:ind w:firstLine="600"/>
    </w:pPr>
    <w:rPr>
      <w:rFonts w:eastAsia="仿宋_GB2312"/>
      <w:sz w:val="32"/>
      <w:szCs w:val="30"/>
    </w:rPr>
  </w:style>
  <w:style w:type="paragraph" w:styleId="6">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7">
    <w:name w:val="Date"/>
    <w:basedOn w:val="1"/>
    <w:next w:val="1"/>
    <w:uiPriority w:val="0"/>
    <w:pPr>
      <w:ind w:left="100" w:leftChars="2500"/>
    </w:pPr>
  </w:style>
  <w:style w:type="paragraph" w:styleId="8">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9">
    <w:name w:val="Balloon Text"/>
    <w:basedOn w:val="1"/>
    <w:semiHidden/>
    <w:uiPriority w:val="0"/>
    <w:rPr>
      <w:sz w:val="18"/>
      <w:szCs w:val="18"/>
    </w:rPr>
  </w:style>
  <w:style w:type="paragraph" w:styleId="10">
    <w:name w:val="footer"/>
    <w:basedOn w:val="1"/>
    <w:link w:val="47"/>
    <w:uiPriority w:val="0"/>
    <w:pPr>
      <w:tabs>
        <w:tab w:val="center" w:pos="4153"/>
        <w:tab w:val="right" w:pos="8306"/>
      </w:tabs>
      <w:snapToGrid w:val="0"/>
      <w:jc w:val="left"/>
    </w:pPr>
    <w:rPr>
      <w:sz w:val="18"/>
      <w:szCs w:val="18"/>
    </w:rPr>
  </w:style>
  <w:style w:type="paragraph" w:styleId="11">
    <w:name w:val="header"/>
    <w:basedOn w:val="1"/>
    <w:link w:val="40"/>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spacing w:line="460" w:lineRule="exact"/>
      <w:ind w:firstLine="640" w:firstLineChars="200"/>
    </w:pPr>
    <w:rPr>
      <w:rFonts w:eastAsia="仿宋_GB2312"/>
      <w:sz w:val="32"/>
    </w:rPr>
  </w:style>
  <w:style w:type="paragraph" w:styleId="13">
    <w:name w:val="Body Text 2"/>
    <w:basedOn w:val="1"/>
    <w:uiPriority w:val="0"/>
    <w:pPr>
      <w:jc w:val="center"/>
    </w:pPr>
    <w:rPr>
      <w:rFonts w:ascii="宋体" w:hAnsi="宋体"/>
      <w:sz w:val="70"/>
    </w:rPr>
  </w:style>
  <w:style w:type="paragraph" w:styleId="14">
    <w:name w:val="Normal (Web)"/>
    <w:basedOn w:val="1"/>
    <w:uiPriority w:val="0"/>
    <w:pPr>
      <w:widowControl/>
      <w:spacing w:before="100" w:beforeAutospacing="1" w:after="100" w:afterAutospacing="1"/>
      <w:jc w:val="left"/>
    </w:pPr>
    <w:rPr>
      <w:rFonts w:ascii="宋体" w:hAnsi="宋体"/>
      <w:kern w:val="0"/>
      <w:sz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1"/>
    <w:basedOn w:val="1"/>
    <w:link w:val="17"/>
    <w:uiPriority w:val="0"/>
    <w:pPr>
      <w:widowControl/>
      <w:spacing w:after="160" w:line="240" w:lineRule="exact"/>
      <w:jc w:val="left"/>
    </w:pPr>
    <w:rPr>
      <w:rFonts w:eastAsia="仿宋_GB2312"/>
      <w:sz w:val="32"/>
      <w:szCs w:val="32"/>
    </w:rPr>
  </w:style>
  <w:style w:type="character" w:styleId="19">
    <w:name w:val="Strong"/>
    <w:basedOn w:val="17"/>
    <w:uiPriority w:val="0"/>
    <w:rPr>
      <w:b/>
      <w:bCs/>
    </w:rPr>
  </w:style>
  <w:style w:type="character" w:styleId="20">
    <w:name w:val="page number"/>
    <w:basedOn w:val="17"/>
    <w:uiPriority w:val="0"/>
  </w:style>
  <w:style w:type="character" w:styleId="21">
    <w:name w:val="Hyperlink"/>
    <w:basedOn w:val="17"/>
    <w:uiPriority w:val="0"/>
    <w:rPr>
      <w:color w:val="0000FF"/>
      <w:u w:val="single"/>
    </w:rPr>
  </w:style>
  <w:style w:type="character" w:customStyle="1" w:styleId="22">
    <w:name w:val="ziti21"/>
    <w:basedOn w:val="17"/>
    <w:uiPriority w:val="0"/>
    <w:rPr>
      <w:rFonts w:hint="default" w:ascii="ˎ̥" w:hAnsi="ˎ̥"/>
      <w:color w:val="000000"/>
      <w:sz w:val="21"/>
      <w:szCs w:val="21"/>
      <w:u w:val="none"/>
    </w:rPr>
  </w:style>
  <w:style w:type="character" w:customStyle="1" w:styleId="23">
    <w:name w:val="链接"/>
    <w:basedOn w:val="17"/>
    <w:uiPriority w:val="0"/>
    <w:rPr>
      <w:rFonts w:ascii="Times New Roman" w:eastAsia="宋体"/>
      <w:color w:val="0000FF"/>
      <w:sz w:val="21"/>
      <w:u w:val="single" w:color="0000FF"/>
      <w:vertAlign w:val="baseline"/>
      <w:lang w:val="en-US" w:eastAsia="zh-CN"/>
    </w:rPr>
  </w:style>
  <w:style w:type="paragraph" w:customStyle="1" w:styleId="24">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5">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6">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7">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8">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9">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0">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1">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2">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33">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34">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35">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6">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37">
    <w:name w:val="style81"/>
    <w:basedOn w:val="17"/>
    <w:uiPriority w:val="0"/>
    <w:rPr>
      <w:rFonts w:hint="eastAsia" w:ascii="黑体" w:eastAsia="黑体"/>
      <w:b/>
      <w:bCs/>
      <w:sz w:val="27"/>
      <w:szCs w:val="27"/>
    </w:rPr>
  </w:style>
  <w:style w:type="character" w:customStyle="1" w:styleId="38">
    <w:name w:val="style21"/>
    <w:basedOn w:val="17"/>
    <w:uiPriority w:val="0"/>
    <w:rPr>
      <w:rFonts w:hint="default" w:ascii="Times New Roman" w:hAnsi="Times New Roman" w:cs="Times New Roman"/>
      <w:b/>
      <w:bCs/>
      <w:color w:val="FF0000"/>
      <w:sz w:val="80"/>
      <w:szCs w:val="80"/>
    </w:rPr>
  </w:style>
  <w:style w:type="paragraph" w:customStyle="1" w:styleId="39">
    <w:name w:val=" Char"/>
    <w:basedOn w:val="1"/>
    <w:uiPriority w:val="0"/>
    <w:pPr>
      <w:tabs>
        <w:tab w:val="left" w:pos="360"/>
      </w:tabs>
    </w:pPr>
    <w:rPr>
      <w:sz w:val="24"/>
    </w:rPr>
  </w:style>
  <w:style w:type="character" w:customStyle="1" w:styleId="40">
    <w:name w:val=" Char Char"/>
    <w:basedOn w:val="17"/>
    <w:link w:val="11"/>
    <w:uiPriority w:val="0"/>
    <w:rPr>
      <w:rFonts w:eastAsia="宋体"/>
      <w:kern w:val="2"/>
      <w:sz w:val="18"/>
      <w:szCs w:val="18"/>
      <w:lang w:val="en-US" w:eastAsia="zh-CN" w:bidi="ar-SA"/>
    </w:rPr>
  </w:style>
  <w:style w:type="paragraph" w:customStyle="1" w:styleId="41">
    <w:name w:val="默认段落字体 Para Char Char Char Char Char Char Char Char Char Char Char Char Char Char Char1 Char Char Char Char"/>
    <w:basedOn w:val="2"/>
    <w:uiPriority w:val="0"/>
    <w:pPr>
      <w:adjustRightInd w:val="0"/>
      <w:spacing w:line="436" w:lineRule="exact"/>
      <w:ind w:left="357"/>
      <w:jc w:val="left"/>
      <w:outlineLvl w:val="3"/>
    </w:pPr>
    <w:rPr>
      <w:rFonts w:ascii="Tahoma" w:hAnsi="Tahoma"/>
      <w:b/>
      <w:sz w:val="24"/>
    </w:rPr>
  </w:style>
  <w:style w:type="paragraph" w:customStyle="1" w:styleId="42">
    <w:name w:val="p0"/>
    <w:basedOn w:val="1"/>
    <w:uiPriority w:val="0"/>
    <w:pPr>
      <w:widowControl/>
      <w:spacing w:line="365" w:lineRule="atLeast"/>
      <w:ind w:left="1"/>
      <w:textAlignment w:val="bottom"/>
    </w:pPr>
    <w:rPr>
      <w:kern w:val="0"/>
      <w:sz w:val="20"/>
      <w:szCs w:val="20"/>
    </w:rPr>
  </w:style>
  <w:style w:type="paragraph" w:customStyle="1" w:styleId="43">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Char"/>
    <w:basedOn w:val="1"/>
    <w:uiPriority w:val="0"/>
    <w:pPr>
      <w:tabs>
        <w:tab w:val="left" w:pos="360"/>
      </w:tabs>
    </w:pPr>
    <w:rPr>
      <w:sz w:val="24"/>
    </w:rPr>
  </w:style>
  <w:style w:type="character" w:customStyle="1" w:styleId="45">
    <w:name w:val="apple-style-span"/>
    <w:basedOn w:val="17"/>
    <w:uiPriority w:val="0"/>
  </w:style>
  <w:style w:type="paragraph" w:customStyle="1" w:styleId="46">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47">
    <w:name w:val=" Char Char2"/>
    <w:basedOn w:val="17"/>
    <w:link w:val="10"/>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700</Words>
  <Characters>3992</Characters>
  <Lines>33</Lines>
  <Paragraphs>9</Paragraphs>
  <TotalTime>0</TotalTime>
  <ScaleCrop>false</ScaleCrop>
  <LinksUpToDate>false</LinksUpToDate>
  <CharactersWithSpaces>4683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2013-07-01T10:35:00Z</dcterms:created>
  <dc:creator>user_common</dc:creator>
  <cp:lastModifiedBy>独身仙子</cp:lastModifiedBy>
  <cp:lastPrinted>2014-09-23T14:58:00Z</cp:lastPrinted>
  <dcterms:modified xsi:type="dcterms:W3CDTF">2023-10-31T17:50:17Z</dcterms:modified>
  <dc:title>淄博市周村区人民政府文件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