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未涉及领域情况</w:t>
      </w:r>
      <w:r>
        <w:rPr>
          <w:rFonts w:hint="eastAsia" w:ascii="文星标宋" w:hAnsi="文星标宋" w:eastAsia="文星标宋" w:cs="文星标宋"/>
          <w:sz w:val="44"/>
          <w:szCs w:val="44"/>
        </w:rPr>
        <w:t>说明</w:t>
      </w:r>
    </w:p>
    <w:p>
      <w:pPr>
        <w:rPr>
          <w:sz w:val="32"/>
          <w:szCs w:val="32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本街道</w:t>
      </w:r>
      <w:r>
        <w:rPr>
          <w:sz w:val="32"/>
          <w:szCs w:val="32"/>
        </w:rPr>
        <w:t>根据基层实际，结合</w:t>
      </w:r>
      <w:r>
        <w:rPr>
          <w:rFonts w:hint="eastAsia"/>
          <w:sz w:val="32"/>
          <w:szCs w:val="32"/>
          <w:lang w:eastAsia="zh-CN"/>
        </w:rPr>
        <w:t>街道机构职能</w:t>
      </w:r>
      <w:r>
        <w:rPr>
          <w:sz w:val="32"/>
          <w:szCs w:val="32"/>
        </w:rPr>
        <w:t>，通过多次梳理，</w:t>
      </w:r>
      <w:r>
        <w:rPr>
          <w:rFonts w:hint="eastAsia"/>
          <w:sz w:val="32"/>
          <w:szCs w:val="32"/>
          <w:lang w:eastAsia="zh-CN"/>
        </w:rPr>
        <w:t>因职能限制本街道基层政务公开标准目录，未涉及“公共资源交易领域、重大建设项目领域、农村危房改造领域、国有土地上房屋征收与补偿领域、城市综合执法领域、市政服务领域、涉农补贴领域、卫生健康领域、生态环境领域、食品药品监管领域、税收领域、扶贫领域”等</w:t>
      </w:r>
      <w:r>
        <w:rPr>
          <w:rFonts w:hint="eastAsia"/>
          <w:sz w:val="32"/>
          <w:szCs w:val="32"/>
          <w:lang w:val="en-US" w:eastAsia="zh-CN"/>
        </w:rPr>
        <w:t>12个领域</w:t>
      </w:r>
      <w:r>
        <w:rPr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912F7"/>
    <w:rsid w:val="583912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99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2020-11-10T11:05:00Z</dcterms:created>
  <dc:creator>dell</dc:creator>
  <cp:lastModifiedBy>dell</cp:lastModifiedBy>
  <dcterms:modified xsi:type="dcterms:W3CDTF">2020-11-10T11:21:30Z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