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left="5419" w:right="0" w:firstLine="0"/>
        <w:rPr>
          <w:rFonts w:ascii="宋体" w:hAnsi="宋体" w:eastAsia="宋体" w:cs="宋体"/>
          <w:color w:val="000000"/>
          <w:spacing w:val="-1"/>
          <w:sz w:val="30"/>
          <w:szCs w:val="30"/>
        </w:rPr>
      </w:pPr>
    </w:p>
    <w:p>
      <w:pPr>
        <w:autoSpaceDE w:val="0"/>
        <w:autoSpaceDN w:val="0"/>
        <w:spacing w:before="0" w:after="0" w:line="240" w:lineRule="auto"/>
        <w:ind w:left="5419" w:right="0" w:firstLine="0"/>
        <w:rPr>
          <w:rFonts w:ascii="宋体" w:hAnsi="宋体" w:eastAsia="宋体" w:cs="宋体"/>
          <w:color w:val="000000"/>
          <w:spacing w:val="-1"/>
          <w:sz w:val="30"/>
          <w:szCs w:val="30"/>
        </w:rPr>
      </w:pPr>
    </w:p>
    <w:p>
      <w:pPr>
        <w:autoSpaceDE w:val="0"/>
        <w:autoSpaceDN w:val="0"/>
        <w:spacing w:before="0" w:after="0" w:line="240" w:lineRule="auto"/>
        <w:ind w:left="5419" w:right="0" w:firstLine="0"/>
        <w:rPr>
          <w:rFonts w:ascii="宋体" w:hAnsi="宋体" w:eastAsia="宋体" w:cs="宋体"/>
          <w:color w:val="000000"/>
          <w:spacing w:val="-1"/>
          <w:sz w:val="30"/>
          <w:szCs w:val="30"/>
        </w:rPr>
      </w:pPr>
    </w:p>
    <w:p>
      <w:pPr>
        <w:autoSpaceDE w:val="0"/>
        <w:autoSpaceDN w:val="0"/>
        <w:spacing w:before="0" w:after="0" w:line="240" w:lineRule="auto"/>
        <w:ind w:left="5419" w:right="0" w:firstLine="0"/>
      </w:pPr>
      <w:r>
        <w:rPr>
          <w:rFonts w:ascii="宋体" w:hAnsi="宋体" w:eastAsia="宋体" w:cs="宋体"/>
          <w:color w:val="000000"/>
          <w:sz w:val="30"/>
          <w:szCs w:val="30"/>
        </w:rPr>
        <w:t>财政预决算领域基层政务公开标准目录</w:t>
      </w:r>
    </w:p>
    <w:p>
      <w:pPr>
        <w:sectPr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8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tbl>
      <w:tblPr>
        <w:tblStyle w:val="2"/>
        <w:tblW w:w="15498" w:type="dxa"/>
        <w:tblInd w:w="5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4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26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2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30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29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和载体</w:t>
            </w:r>
          </w:p>
        </w:tc>
        <w:tc>
          <w:tcPr>
            <w:tcW w:w="14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26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18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0" w:after="0" w:line="240" w:lineRule="auto"/>
              <w:ind w:left="26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二级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32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全社</w:t>
            </w:r>
          </w:p>
          <w:p>
            <w:pPr>
              <w:autoSpaceDE w:val="0"/>
              <w:autoSpaceDN w:val="0"/>
              <w:spacing w:before="26" w:after="0" w:line="240" w:lineRule="auto"/>
              <w:ind w:left="24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5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群体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5" w:after="0" w:line="240" w:lineRule="auto"/>
              <w:ind w:left="24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</w:pPr>
            <w:r>
              <w:rPr>
                <w:rFonts w:hint="eastAsia" w:ascii="黑体" w:hAnsi="黑体" w:eastAsia="黑体" w:cs="黑体"/>
                <w:color w:val="000000"/>
                <w:spacing w:val="-5"/>
                <w:sz w:val="22"/>
                <w:szCs w:val="22"/>
                <w:lang w:eastAsia="zh-CN"/>
              </w:rPr>
              <w:t>区</w:t>
            </w: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5"/>
                <w:sz w:val="22"/>
                <w:szCs w:val="22"/>
                <w:lang w:eastAsia="zh-CN"/>
              </w:rPr>
              <w:t>街道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tbl>
      <w:tblPr>
        <w:tblStyle w:val="2"/>
        <w:tblW w:w="15498" w:type="dxa"/>
        <w:tblInd w:w="5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财政</w:t>
            </w:r>
          </w:p>
          <w:p>
            <w:pPr>
              <w:autoSpaceDE w:val="0"/>
              <w:autoSpaceDN w:val="0"/>
              <w:spacing w:before="78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预决</w:t>
            </w:r>
          </w:p>
          <w:p>
            <w:pPr>
              <w:autoSpaceDE w:val="0"/>
              <w:autoSpaceDN w:val="0"/>
              <w:spacing w:before="77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  <w:p>
            <w:pPr>
              <w:autoSpaceDE w:val="0"/>
              <w:autoSpaceDN w:val="0"/>
              <w:spacing w:before="78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预算</w:t>
            </w:r>
          </w:p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收支总体情况表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：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①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街道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收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支总体情况表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②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18"/>
                <w:szCs w:val="18"/>
                <w:lang w:eastAsia="zh-CN"/>
              </w:rPr>
              <w:t>街道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收入总体情况表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③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街道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出总体情况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表。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《预算法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2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《政府信息公开条例</w:t>
            </w: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-23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等法律法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规和文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件规定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本级政府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门批复后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日内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18"/>
                <w:szCs w:val="18"/>
                <w:lang w:eastAsia="zh-CN"/>
              </w:rPr>
              <w:t>街道办事处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791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公报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10" w:lineRule="auto"/>
              <w:ind w:left="98" w:right="71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财政拨款收支情况表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：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财政拨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款收支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总体情况表。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②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一般公共预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算支出情况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表。③一般公共预算基本支出情况表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④一般公共预算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三公”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经费支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出情况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表。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⑤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政府性基金预算支出情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况表。</w:t>
            </w: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302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一般公共预算支出情况表公开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到功能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分类项级科目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一般公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共预算基本支出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表公开到经济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分类款级科目。</w:t>
            </w: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3" w:lineRule="auto"/>
              <w:ind w:left="125" w:right="71" w:hanging="26"/>
            </w:pP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一般公共预算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三公”经费支出表按</w:t>
            </w:r>
            <w:r>
              <w:rPr>
                <w:rFonts w:ascii="仿宋" w:hAnsi="仿宋" w:eastAsia="仿宋" w:cs="仿宋"/>
                <w:color w:val="000000"/>
                <w:spacing w:val="-11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因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公出国（境）费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“公务用车购置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及运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行费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“公务接待费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，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其中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，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“公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务用车购置及运行费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应当细化到“公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务用车购置费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公务用车运行费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两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个项目，并对增减变化情况进行说明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5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39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tbl>
      <w:tblPr>
        <w:tblStyle w:val="2"/>
        <w:tblW w:w="15498" w:type="dxa"/>
        <w:tblInd w:w="5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4" w:after="0" w:line="313" w:lineRule="auto"/>
              <w:ind w:left="98" w:right="18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本部门职责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机构设置情况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预算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收支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增减变化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机关运行经费安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排以及政府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采购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主要包括部门政府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采购预算总金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额和货物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工程、服务采购的预算金额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等情况的说明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，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并对专业性较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强的名词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进行解释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结合工作进展情况</w:t>
            </w:r>
            <w:r>
              <w:rPr>
                <w:rFonts w:ascii="仿宋" w:hAnsi="仿宋" w:eastAsia="仿宋" w:cs="仿宋"/>
                <w:color w:val="000000"/>
                <w:spacing w:val="1"/>
                <w:sz w:val="18"/>
                <w:szCs w:val="18"/>
              </w:rPr>
              <w:t>，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逐步公开国有资产占用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重点项目预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算的绩效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目标等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情况。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没有数据的表格应当列出空表并说明</w:t>
            </w:r>
            <w:r>
              <w:rPr>
                <w:rFonts w:ascii="仿宋" w:hAnsi="仿宋" w:eastAsia="仿宋" w:cs="仿宋"/>
                <w:color w:val="000000"/>
                <w:spacing w:val="3"/>
                <w:sz w:val="18"/>
                <w:szCs w:val="18"/>
              </w:rPr>
              <w:t>。</w:t>
            </w: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财政</w:t>
            </w:r>
          </w:p>
          <w:p>
            <w:pPr>
              <w:autoSpaceDE w:val="0"/>
              <w:autoSpaceDN w:val="0"/>
              <w:spacing w:before="78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预决</w:t>
            </w:r>
          </w:p>
          <w:p>
            <w:pPr>
              <w:autoSpaceDE w:val="0"/>
              <w:autoSpaceDN w:val="0"/>
              <w:spacing w:before="77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  <w:p>
            <w:pPr>
              <w:autoSpaceDE w:val="0"/>
              <w:autoSpaceDN w:val="0"/>
              <w:spacing w:before="78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决算</w:t>
            </w:r>
          </w:p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03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收支总体情况表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：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部门收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支总体情况表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②部门收入总体情况表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③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部门支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出总体情况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表。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《预算法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2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《政府信息公开条例</w:t>
            </w: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-23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等法律法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规和文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件规定</w:t>
            </w:r>
          </w:p>
        </w:tc>
        <w:tc>
          <w:tcPr>
            <w:tcW w:w="16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本级政府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门批复后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日内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18"/>
                <w:szCs w:val="18"/>
                <w:lang w:eastAsia="zh-CN"/>
              </w:rPr>
              <w:t>街道办事处</w:t>
            </w: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20" w:lineRule="auto"/>
              <w:ind w:left="98" w:right="791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公报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rPr>
          <w:trHeight w:val="1570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after="0" w:line="310" w:lineRule="auto"/>
              <w:ind w:left="98" w:right="71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财政拨款收支情况表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：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①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财政拨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款收支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总体情况表。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②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一般公共预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算支出情况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表。③一般公共预算基本支出情况表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④一般公共预算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三公”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经费支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出情况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表。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⑤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政府性基金预算支出情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况表。</w:t>
            </w: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0" w:after="0" w:line="307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一般公共预算支出情况表公开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到功能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分类项级科目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一般公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共预算基本支出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表公开到经济</w:t>
            </w:r>
            <w:r>
              <w:rPr>
                <w:rFonts w:ascii="仿宋" w:hAnsi="仿宋" w:eastAsia="仿宋" w:cs="仿宋"/>
                <w:color w:val="000000"/>
                <w:sz w:val="18"/>
                <w:szCs w:val="18"/>
              </w:rPr>
              <w:t>分类款级科目。</w:t>
            </w: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39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pgNumType w:fmt="decimal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tbl>
      <w:tblPr>
        <w:tblStyle w:val="2"/>
        <w:tblpPr w:leftFromText="180" w:rightFromText="180" w:vertAnchor="page" w:horzAnchor="page" w:tblpX="564" w:tblpY="1735"/>
        <w:tblOverlap w:val="never"/>
        <w:tblW w:w="154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4" w:after="0" w:line="312" w:lineRule="auto"/>
              <w:ind w:left="98" w:right="105" w:firstLine="0"/>
            </w:pP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一般公共预算“三公”经费支出表按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因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公出国（境）费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公务用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车购置及运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行费”“公务接待费</w:t>
            </w: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公开，其中，</w:t>
            </w:r>
            <w:r>
              <w:rPr>
                <w:rFonts w:ascii="仿宋" w:hAnsi="仿宋" w:eastAsia="仿宋" w:cs="仿宋"/>
                <w:color w:val="000000"/>
                <w:spacing w:val="-14"/>
                <w:sz w:val="18"/>
                <w:szCs w:val="18"/>
              </w:rPr>
              <w:t>“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公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务用车购置及运行费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应当细化到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“公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务用车购置费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“公务用车运行费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”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两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个项目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，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并对增减变化情况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与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预算对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比）进行说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明。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spacing w:before="0" w:after="0" w:line="240" w:lineRule="auto"/>
              <w:ind w:left="221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财政</w:t>
            </w:r>
          </w:p>
          <w:p>
            <w:pPr>
              <w:autoSpaceDE w:val="0"/>
              <w:autoSpaceDN w:val="0"/>
              <w:spacing w:before="78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预决</w:t>
            </w:r>
          </w:p>
          <w:p>
            <w:pPr>
              <w:autoSpaceDE w:val="0"/>
              <w:autoSpaceDN w:val="0"/>
              <w:spacing w:before="77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算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部门</w:t>
            </w:r>
          </w:p>
          <w:p>
            <w:pPr>
              <w:autoSpaceDE w:val="0"/>
              <w:autoSpaceDN w:val="0"/>
              <w:spacing w:before="78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决算</w:t>
            </w:r>
          </w:p>
        </w:tc>
        <w:tc>
          <w:tcPr>
            <w:tcW w:w="3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9" w:after="0" w:line="314" w:lineRule="auto"/>
              <w:ind w:left="98" w:right="71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本部门职责、机构设置情况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决算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收支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增减变化、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机关运行经费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安排以及政府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采购（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主要包括部门政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府采购支出总金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额，货物、工程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服务的采购金额，授</w:t>
            </w:r>
            <w:r>
              <w:rPr>
                <w:rFonts w:ascii="仿宋" w:hAnsi="仿宋" w:eastAsia="仿宋" w:cs="仿宋"/>
                <w:color w:val="000000"/>
                <w:spacing w:val="9"/>
                <w:sz w:val="18"/>
                <w:szCs w:val="18"/>
              </w:rPr>
              <w:t>予中小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企业的合同金额及占政府采购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支出总金额的比重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等情况的说明，并对专业性较强的名词进行解释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。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结合工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作进展情况，逐步公开国有资产占用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绩效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评价结果等情况。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《预算法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23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《政府信息公开条例</w:t>
            </w: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pacing w:val="-23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等法律法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规和文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件规定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1" w:lineRule="exact"/>
              <w:ind w:left="0" w:right="0"/>
            </w:pPr>
          </w:p>
          <w:p>
            <w:pPr>
              <w:autoSpaceDE w:val="0"/>
              <w:autoSpaceDN w:val="0"/>
              <w:spacing w:before="78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20"/>
                <w:sz w:val="18"/>
                <w:szCs w:val="18"/>
              </w:rPr>
              <w:t>本级政府</w:t>
            </w:r>
            <w:r>
              <w:rPr>
                <w:rFonts w:ascii="仿宋" w:hAnsi="仿宋" w:eastAsia="仿宋" w:cs="仿宋"/>
                <w:color w:val="000000"/>
                <w:spacing w:val="18"/>
                <w:sz w:val="18"/>
                <w:szCs w:val="18"/>
              </w:rPr>
              <w:t>财政部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门批复后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20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3"/>
                <w:sz w:val="18"/>
                <w:szCs w:val="18"/>
              </w:rPr>
              <w:t>日内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107" w:firstLine="0"/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18"/>
                <w:szCs w:val="18"/>
                <w:lang w:eastAsia="zh-CN"/>
              </w:rPr>
              <w:t>街道办事处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319" w:lineRule="auto"/>
              <w:ind w:left="98" w:right="791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网站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■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公报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pacing w:before="0" w:after="0" w:line="200" w:lineRule="exact"/>
        <w:ind w:left="0" w:right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B60BB"/>
    <w:rsid w:val="07FA654A"/>
    <w:rsid w:val="11F70D73"/>
    <w:rsid w:val="1A6D5F49"/>
    <w:rsid w:val="29EB60BB"/>
    <w:rsid w:val="2DD7FC5B"/>
    <w:rsid w:val="468D2C63"/>
    <w:rsid w:val="4D124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2020-10-15T15:38:00Z</dcterms:created>
  <dc:creator>dell</dc:creator>
  <cp:lastModifiedBy>独身仙子</cp:lastModifiedBy>
  <dcterms:modified xsi:type="dcterms:W3CDTF">2023-06-08T09:00:58Z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