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_GBK" w:hAnsi="方正小标宋_GBK" w:eastAsia="方正小标宋_GBK" w:cs="Times New Roman"/>
          <w:b w:val="0"/>
          <w:bCs w:val="0"/>
          <w:sz w:val="30"/>
        </w:rPr>
      </w:pPr>
      <w:bookmarkStart w:id="0" w:name="_Toc24724724"/>
      <w:r>
        <w:rPr>
          <w:rFonts w:hint="eastAsia" w:ascii="方正小标宋_GBK" w:hAnsi="方正小标宋_GBK" w:eastAsia="方正小标宋_GBK" w:cs="Times New Roman"/>
          <w:b w:val="0"/>
          <w:bCs w:val="0"/>
          <w:sz w:val="30"/>
        </w:rPr>
        <w:t>卫生健康领域基层政务公开标准目录</w:t>
      </w:r>
      <w:bookmarkEnd w:id="0"/>
    </w:p>
    <w:tbl>
      <w:tblPr>
        <w:tblStyle w:val="3"/>
        <w:tblW w:w="15588" w:type="dxa"/>
        <w:tblInd w:w="-8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20"/>
        <w:gridCol w:w="1188"/>
        <w:gridCol w:w="4140"/>
        <w:gridCol w:w="1800"/>
        <w:gridCol w:w="1440"/>
        <w:gridCol w:w="720"/>
        <w:gridCol w:w="1080"/>
        <w:gridCol w:w="720"/>
        <w:gridCol w:w="720"/>
        <w:gridCol w:w="596"/>
        <w:gridCol w:w="720"/>
        <w:gridCol w:w="540"/>
        <w:gridCol w:w="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restart"/>
            <w:noWrap w:val="0"/>
            <w:vAlign w:val="center"/>
          </w:tcPr>
          <w:p>
            <w:pPr>
              <w:widowControl/>
              <w:jc w:val="center"/>
              <w:rPr>
                <w:rFonts w:ascii="Times New Roman" w:hAnsi="Times New Roman" w:eastAsia="宋体" w:cs="Times New Roman"/>
                <w:color w:val="000000"/>
                <w:kern w:val="0"/>
                <w:sz w:val="22"/>
              </w:rPr>
            </w:pPr>
            <w:r>
              <w:rPr>
                <w:rFonts w:ascii="Times New Roman" w:hAnsi="宋体" w:eastAsia="宋体" w:cs="Times New Roman"/>
                <w:color w:val="000000"/>
                <w:kern w:val="0"/>
                <w:sz w:val="22"/>
              </w:rPr>
              <w:t>序号</w:t>
            </w:r>
          </w:p>
        </w:tc>
        <w:tc>
          <w:tcPr>
            <w:tcW w:w="1908"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414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180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144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72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1080" w:type="dxa"/>
            <w:vMerge w:val="restart"/>
            <w:noWrap w:val="0"/>
            <w:vAlign w:val="center"/>
          </w:tcPr>
          <w:p>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440"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316"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204"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noWrap w:val="0"/>
            <w:vAlign w:val="center"/>
          </w:tcPr>
          <w:p>
            <w:pPr>
              <w:widowControl/>
              <w:jc w:val="left"/>
              <w:rPr>
                <w:rFonts w:ascii="Times New Roman" w:hAnsi="Times New Roman" w:eastAsia="宋体" w:cs="Times New Roman"/>
                <w:color w:val="000000"/>
                <w:kern w:val="0"/>
                <w:sz w:val="22"/>
              </w:rPr>
            </w:pP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1188"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4140" w:type="dxa"/>
            <w:vMerge w:val="continue"/>
            <w:noWrap w:val="0"/>
            <w:vAlign w:val="center"/>
          </w:tcPr>
          <w:p>
            <w:pPr>
              <w:widowControl/>
              <w:jc w:val="left"/>
              <w:rPr>
                <w:rFonts w:ascii="黑体" w:hAnsi="宋体" w:eastAsia="黑体" w:cs="宋体"/>
                <w:color w:val="000000"/>
                <w:kern w:val="0"/>
                <w:sz w:val="22"/>
              </w:rPr>
            </w:pPr>
          </w:p>
        </w:tc>
        <w:tc>
          <w:tcPr>
            <w:tcW w:w="1800" w:type="dxa"/>
            <w:vMerge w:val="continue"/>
            <w:noWrap w:val="0"/>
            <w:vAlign w:val="center"/>
          </w:tcPr>
          <w:p>
            <w:pPr>
              <w:widowControl/>
              <w:jc w:val="left"/>
              <w:rPr>
                <w:rFonts w:ascii="黑体" w:hAnsi="宋体" w:eastAsia="黑体" w:cs="宋体"/>
                <w:color w:val="000000"/>
                <w:kern w:val="0"/>
                <w:sz w:val="22"/>
              </w:rPr>
            </w:pPr>
          </w:p>
        </w:tc>
        <w:tc>
          <w:tcPr>
            <w:tcW w:w="1440" w:type="dxa"/>
            <w:vMerge w:val="continue"/>
            <w:noWrap w:val="0"/>
            <w:vAlign w:val="center"/>
          </w:tcPr>
          <w:p>
            <w:pPr>
              <w:widowControl/>
              <w:jc w:val="left"/>
              <w:rPr>
                <w:rFonts w:ascii="黑体" w:hAnsi="宋体" w:eastAsia="黑体" w:cs="宋体"/>
                <w:color w:val="000000"/>
                <w:kern w:val="0"/>
                <w:sz w:val="22"/>
              </w:rPr>
            </w:pPr>
          </w:p>
        </w:tc>
        <w:tc>
          <w:tcPr>
            <w:tcW w:w="720" w:type="dxa"/>
            <w:vMerge w:val="continue"/>
            <w:noWrap w:val="0"/>
            <w:vAlign w:val="center"/>
          </w:tcPr>
          <w:p>
            <w:pPr>
              <w:widowControl/>
              <w:jc w:val="left"/>
              <w:rPr>
                <w:rFonts w:ascii="黑体" w:hAnsi="宋体" w:eastAsia="黑体" w:cs="宋体"/>
                <w:color w:val="000000"/>
                <w:kern w:val="0"/>
                <w:sz w:val="22"/>
              </w:rPr>
            </w:pPr>
          </w:p>
        </w:tc>
        <w:tc>
          <w:tcPr>
            <w:tcW w:w="1080" w:type="dxa"/>
            <w:vMerge w:val="continue"/>
            <w:noWrap w:val="0"/>
            <w:vAlign w:val="center"/>
          </w:tcPr>
          <w:p>
            <w:pPr>
              <w:widowControl/>
              <w:jc w:val="left"/>
              <w:rPr>
                <w:rFonts w:ascii="黑体" w:hAnsi="宋体" w:eastAsia="黑体" w:cs="宋体"/>
                <w:kern w:val="0"/>
                <w:sz w:val="22"/>
              </w:rPr>
            </w:pP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596"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54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664"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trPr>
        <w:tc>
          <w:tcPr>
            <w:tcW w:w="540"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eastAsia="仿宋_GB2312" w:cs="Times New Roman"/>
                <w:color w:val="000000"/>
                <w:sz w:val="18"/>
                <w:szCs w:val="18"/>
              </w:rPr>
              <w:t>1</w:t>
            </w:r>
          </w:p>
        </w:tc>
        <w:tc>
          <w:tcPr>
            <w:tcW w:w="720" w:type="dxa"/>
            <w:vMerge w:val="restart"/>
            <w:noWrap w:val="0"/>
            <w:vAlign w:val="center"/>
          </w:tcPr>
          <w:p>
            <w:pPr>
              <w:jc w:val="center"/>
              <w:rPr>
                <w:rFonts w:hint="eastAsia" w:ascii="仿宋_GB2312" w:hAnsi="宋体" w:eastAsia="仿宋_GB2312" w:cs="宋体"/>
                <w:bCs/>
                <w:color w:val="000000"/>
                <w:sz w:val="18"/>
                <w:szCs w:val="18"/>
              </w:rPr>
            </w:pPr>
            <w:r>
              <w:rPr>
                <w:rFonts w:hint="eastAsia" w:ascii="仿宋_GB2312" w:hAnsi="宋体" w:eastAsia="仿宋_GB2312" w:cs="Times New Roman"/>
                <w:bCs/>
                <w:color w:val="000000"/>
                <w:sz w:val="18"/>
                <w:szCs w:val="18"/>
              </w:rPr>
              <w:t>行政</w:t>
            </w:r>
            <w:r>
              <w:rPr>
                <w:rFonts w:hint="eastAsia" w:ascii="仿宋_GB2312" w:hAnsi="宋体" w:eastAsia="仿宋_GB2312" w:cs="Times New Roman"/>
                <w:bCs/>
                <w:color w:val="000000"/>
                <w:sz w:val="18"/>
                <w:szCs w:val="18"/>
                <w:lang w:eastAsia="zh-CN"/>
              </w:rPr>
              <w:t>给付</w:t>
            </w:r>
            <w:r>
              <w:rPr>
                <w:rFonts w:hint="eastAsia" w:ascii="仿宋_GB2312" w:hAnsi="宋体" w:eastAsia="仿宋_GB2312" w:cs="Times New Roman"/>
                <w:bCs/>
                <w:color w:val="000000"/>
                <w:sz w:val="18"/>
                <w:szCs w:val="18"/>
              </w:rPr>
              <w:t>类事项</w:t>
            </w:r>
          </w:p>
        </w:tc>
        <w:tc>
          <w:tcPr>
            <w:tcW w:w="1188"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独生子女父母奖励</w:t>
            </w:r>
          </w:p>
          <w:p>
            <w:pPr>
              <w:jc w:val="cente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【法律】《中华人民共和国人口与计划生育法》（中华人民共和国主席令第41号2015年12月27日修正）</w:t>
            </w:r>
          </w:p>
        </w:tc>
        <w:tc>
          <w:tcPr>
            <w:tcW w:w="144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文教卫健服务中心</w:t>
            </w:r>
          </w:p>
        </w:tc>
        <w:tc>
          <w:tcPr>
            <w:tcW w:w="108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96"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40" w:type="dxa"/>
            <w:vMerge w:val="restart"/>
            <w:noWrap w:val="0"/>
            <w:vAlign w:val="center"/>
          </w:tcPr>
          <w:p>
            <w:pPr>
              <w:jc w:val="center"/>
              <w:rPr>
                <w:rFonts w:hint="eastAsia" w:ascii="仿宋_GB2312" w:hAnsi="宋体" w:eastAsia="仿宋_GB2312" w:cs="宋体"/>
                <w:color w:val="000000"/>
                <w:sz w:val="18"/>
                <w:szCs w:val="18"/>
              </w:rPr>
            </w:pPr>
          </w:p>
        </w:tc>
        <w:tc>
          <w:tcPr>
            <w:tcW w:w="664"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申请材料</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受理范围及条件</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办理流程</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咨询投诉渠道</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96"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40" w:type="dxa"/>
            <w:vMerge w:val="continue"/>
            <w:noWrap w:val="0"/>
            <w:vAlign w:val="center"/>
          </w:tcPr>
          <w:p>
            <w:pPr>
              <w:jc w:val="center"/>
              <w:rPr>
                <w:rFonts w:hint="eastAsia" w:ascii="仿宋_GB2312" w:hAnsi="宋体" w:eastAsia="仿宋_GB2312" w:cs="宋体"/>
                <w:color w:val="000000"/>
                <w:sz w:val="18"/>
                <w:szCs w:val="18"/>
              </w:rPr>
            </w:pPr>
          </w:p>
        </w:tc>
        <w:tc>
          <w:tcPr>
            <w:tcW w:w="664" w:type="dxa"/>
            <w:vMerge w:val="continue"/>
            <w:noWrap w:val="0"/>
            <w:vAlign w:val="center"/>
          </w:tcPr>
          <w:p>
            <w:pPr>
              <w:jc w:val="center"/>
              <w:rPr>
                <w:rFonts w:hint="eastAsia"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7" w:hRule="atLeast"/>
        </w:trPr>
        <w:tc>
          <w:tcPr>
            <w:tcW w:w="540" w:type="dxa"/>
            <w:vMerge w:val="restart"/>
            <w:noWrap w:val="0"/>
            <w:vAlign w:val="center"/>
          </w:tcPr>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w:t>
            </w:r>
          </w:p>
        </w:tc>
        <w:tc>
          <w:tcPr>
            <w:tcW w:w="720" w:type="dxa"/>
            <w:vMerge w:val="restart"/>
            <w:noWrap w:val="0"/>
            <w:vAlign w:val="center"/>
          </w:tcPr>
          <w:p>
            <w:pPr>
              <w:jc w:val="center"/>
              <w:rPr>
                <w:rFonts w:hint="eastAsia" w:ascii="仿宋_GB2312" w:hAnsi="宋体" w:eastAsia="仿宋_GB2312" w:cs="Times New Roman"/>
                <w:bCs/>
                <w:color w:val="000000"/>
                <w:sz w:val="18"/>
                <w:szCs w:val="18"/>
              </w:rPr>
            </w:pPr>
          </w:p>
          <w:p>
            <w:pPr>
              <w:jc w:val="center"/>
              <w:rPr>
                <w:rFonts w:hint="eastAsia" w:ascii="仿宋_GB2312" w:hAnsi="宋体" w:eastAsia="仿宋_GB2312" w:cs="Times New Roman"/>
                <w:bCs/>
                <w:color w:val="000000"/>
                <w:sz w:val="18"/>
                <w:szCs w:val="18"/>
              </w:rPr>
            </w:pPr>
          </w:p>
          <w:p>
            <w:pPr>
              <w:jc w:val="center"/>
              <w:rPr>
                <w:rFonts w:hint="eastAsia" w:ascii="仿宋_GB2312" w:hAnsi="宋体" w:eastAsia="仿宋_GB2312" w:cs="Times New Roman"/>
                <w:bCs/>
                <w:color w:val="000000"/>
                <w:sz w:val="18"/>
                <w:szCs w:val="18"/>
              </w:rPr>
            </w:pPr>
          </w:p>
          <w:p>
            <w:pPr>
              <w:jc w:val="center"/>
              <w:rPr>
                <w:rFonts w:hint="eastAsia" w:ascii="仿宋_GB2312" w:hAnsi="宋体" w:eastAsia="仿宋_GB2312" w:cs="Times New Roman"/>
                <w:bCs/>
                <w:color w:val="000000"/>
                <w:sz w:val="18"/>
                <w:szCs w:val="18"/>
              </w:rPr>
            </w:pPr>
          </w:p>
          <w:p>
            <w:pPr>
              <w:jc w:val="center"/>
              <w:rPr>
                <w:rFonts w:hint="eastAsia" w:ascii="仿宋_GB2312" w:hAnsi="宋体" w:eastAsia="仿宋_GB2312" w:cs="Times New Roman"/>
                <w:bCs/>
                <w:color w:val="000000"/>
                <w:sz w:val="18"/>
                <w:szCs w:val="18"/>
              </w:rPr>
            </w:pPr>
          </w:p>
          <w:p>
            <w:pPr>
              <w:jc w:val="center"/>
              <w:rPr>
                <w:rFonts w:hint="eastAsia" w:ascii="仿宋_GB2312" w:hAnsi="宋体" w:eastAsia="仿宋_GB2312" w:cs="Times New Roman"/>
                <w:bCs/>
                <w:color w:val="000000"/>
                <w:sz w:val="18"/>
                <w:szCs w:val="18"/>
              </w:rPr>
            </w:pPr>
          </w:p>
          <w:p>
            <w:pPr>
              <w:jc w:val="center"/>
              <w:rPr>
                <w:rFonts w:hint="eastAsia" w:ascii="仿宋_GB2312" w:hAnsi="宋体" w:eastAsia="仿宋_GB2312" w:cs="Times New Roman"/>
                <w:bCs/>
                <w:color w:val="000000"/>
                <w:sz w:val="18"/>
                <w:szCs w:val="18"/>
              </w:rPr>
            </w:pPr>
          </w:p>
          <w:p>
            <w:pPr>
              <w:jc w:val="center"/>
              <w:rPr>
                <w:rFonts w:hint="eastAsia" w:ascii="仿宋_GB2312" w:hAnsi="宋体" w:eastAsia="仿宋_GB2312" w:cs="Times New Roman"/>
                <w:bCs/>
                <w:color w:val="000000"/>
                <w:sz w:val="18"/>
                <w:szCs w:val="18"/>
              </w:rPr>
            </w:pPr>
          </w:p>
          <w:p>
            <w:pPr>
              <w:jc w:val="center"/>
              <w:rPr>
                <w:rFonts w:hint="eastAsia" w:ascii="仿宋_GB2312" w:hAnsi="宋体" w:eastAsia="仿宋_GB2312" w:cs="Times New Roman"/>
                <w:bCs/>
                <w:color w:val="000000"/>
                <w:sz w:val="18"/>
                <w:szCs w:val="18"/>
              </w:rPr>
            </w:pPr>
            <w:r>
              <w:rPr>
                <w:rFonts w:hint="eastAsia" w:ascii="仿宋_GB2312" w:hAnsi="宋体" w:eastAsia="仿宋_GB2312" w:cs="Times New Roman"/>
                <w:bCs/>
                <w:color w:val="000000"/>
                <w:sz w:val="18"/>
                <w:szCs w:val="18"/>
              </w:rPr>
              <w:t>行</w:t>
            </w:r>
          </w:p>
          <w:p>
            <w:pPr>
              <w:jc w:val="center"/>
              <w:rPr>
                <w:rFonts w:hint="eastAsia" w:ascii="仿宋_GB2312" w:hAnsi="宋体" w:eastAsia="仿宋_GB2312" w:cs="Times New Roman"/>
                <w:bCs/>
                <w:color w:val="000000"/>
                <w:sz w:val="18"/>
                <w:szCs w:val="18"/>
              </w:rPr>
            </w:pPr>
            <w:r>
              <w:rPr>
                <w:rFonts w:hint="eastAsia" w:ascii="仿宋_GB2312" w:hAnsi="宋体" w:eastAsia="仿宋_GB2312" w:cs="Times New Roman"/>
                <w:bCs/>
                <w:color w:val="000000"/>
                <w:sz w:val="18"/>
                <w:szCs w:val="18"/>
              </w:rPr>
              <w:t>政</w:t>
            </w:r>
          </w:p>
          <w:p>
            <w:pPr>
              <w:jc w:val="center"/>
              <w:rPr>
                <w:rFonts w:hint="eastAsia" w:ascii="仿宋_GB2312" w:hAnsi="宋体" w:eastAsia="仿宋_GB2312" w:cs="Times New Roman"/>
                <w:bCs/>
                <w:color w:val="000000"/>
                <w:sz w:val="18"/>
                <w:szCs w:val="18"/>
                <w:lang w:eastAsia="zh-CN"/>
              </w:rPr>
            </w:pPr>
            <w:r>
              <w:rPr>
                <w:rFonts w:hint="eastAsia" w:ascii="仿宋_GB2312" w:hAnsi="宋体" w:eastAsia="仿宋_GB2312" w:cs="Times New Roman"/>
                <w:bCs/>
                <w:color w:val="000000"/>
                <w:sz w:val="18"/>
                <w:szCs w:val="18"/>
                <w:lang w:eastAsia="zh-CN"/>
              </w:rPr>
              <w:t>给</w:t>
            </w:r>
          </w:p>
          <w:p>
            <w:pPr>
              <w:jc w:val="center"/>
              <w:rPr>
                <w:rFonts w:hint="eastAsia" w:ascii="仿宋_GB2312" w:hAnsi="宋体" w:eastAsia="仿宋_GB2312" w:cs="Times New Roman"/>
                <w:bCs/>
                <w:color w:val="000000"/>
                <w:sz w:val="18"/>
                <w:szCs w:val="18"/>
                <w:lang w:eastAsia="zh-CN"/>
              </w:rPr>
            </w:pPr>
            <w:r>
              <w:rPr>
                <w:rFonts w:hint="eastAsia" w:ascii="仿宋_GB2312" w:hAnsi="宋体" w:eastAsia="仿宋_GB2312" w:cs="Times New Roman"/>
                <w:bCs/>
                <w:color w:val="000000"/>
                <w:sz w:val="18"/>
                <w:szCs w:val="18"/>
                <w:lang w:eastAsia="zh-CN"/>
              </w:rPr>
              <w:t>付</w:t>
            </w:r>
          </w:p>
          <w:p>
            <w:pPr>
              <w:jc w:val="center"/>
              <w:rPr>
                <w:rFonts w:hint="eastAsia" w:ascii="仿宋_GB2312" w:hAnsi="宋体" w:eastAsia="仿宋_GB2312" w:cs="Times New Roman"/>
                <w:bCs/>
                <w:color w:val="000000"/>
                <w:sz w:val="18"/>
                <w:szCs w:val="18"/>
              </w:rPr>
            </w:pPr>
            <w:r>
              <w:rPr>
                <w:rFonts w:hint="eastAsia" w:ascii="仿宋_GB2312" w:hAnsi="宋体" w:eastAsia="仿宋_GB2312" w:cs="Times New Roman"/>
                <w:bCs/>
                <w:color w:val="000000"/>
                <w:sz w:val="18"/>
                <w:szCs w:val="18"/>
              </w:rPr>
              <w:t>类</w:t>
            </w:r>
          </w:p>
          <w:p>
            <w:pPr>
              <w:jc w:val="center"/>
              <w:rPr>
                <w:rFonts w:hint="eastAsia" w:ascii="仿宋_GB2312" w:hAnsi="宋体" w:eastAsia="仿宋_GB2312" w:cs="Times New Roman"/>
                <w:bCs/>
                <w:color w:val="000000"/>
                <w:sz w:val="18"/>
                <w:szCs w:val="18"/>
              </w:rPr>
            </w:pPr>
            <w:r>
              <w:rPr>
                <w:rFonts w:hint="eastAsia" w:ascii="仿宋_GB2312" w:hAnsi="宋体" w:eastAsia="仿宋_GB2312" w:cs="Times New Roman"/>
                <w:bCs/>
                <w:color w:val="000000"/>
                <w:sz w:val="18"/>
                <w:szCs w:val="18"/>
              </w:rPr>
              <w:t>事</w:t>
            </w:r>
          </w:p>
          <w:p>
            <w:pPr>
              <w:jc w:val="center"/>
              <w:rPr>
                <w:rFonts w:hint="eastAsia" w:ascii="仿宋_GB2312" w:hAnsi="宋体" w:eastAsia="仿宋_GB2312" w:cs="宋体"/>
                <w:bCs/>
                <w:color w:val="000000"/>
                <w:sz w:val="18"/>
                <w:szCs w:val="18"/>
              </w:rPr>
            </w:pPr>
            <w:r>
              <w:rPr>
                <w:rFonts w:hint="eastAsia" w:ascii="仿宋_GB2312" w:hAnsi="宋体" w:eastAsia="仿宋_GB2312" w:cs="Times New Roman"/>
                <w:bCs/>
                <w:color w:val="000000"/>
                <w:sz w:val="18"/>
                <w:szCs w:val="18"/>
              </w:rPr>
              <w:t>项</w:t>
            </w:r>
          </w:p>
        </w:tc>
        <w:tc>
          <w:tcPr>
            <w:tcW w:w="1188" w:type="dxa"/>
            <w:vMerge w:val="restart"/>
            <w:noWrap w:val="0"/>
            <w:vAlign w:val="center"/>
          </w:tcPr>
          <w:p>
            <w:pPr>
              <w:jc w:val="center"/>
              <w:rPr>
                <w:rFonts w:hint="eastAsia" w:ascii="仿宋_GB2312" w:hAnsi="宋体" w:eastAsia="仿宋_GB2312" w:cs="宋体"/>
                <w:color w:val="000000"/>
                <w:sz w:val="18"/>
                <w:szCs w:val="18"/>
                <w:lang w:val="en-US" w:eastAsia="zh-CN"/>
              </w:rPr>
            </w:pPr>
          </w:p>
          <w:p>
            <w:pPr>
              <w:jc w:val="center"/>
              <w:rPr>
                <w:rFonts w:hint="eastAsia" w:ascii="仿宋_GB2312" w:hAnsi="宋体" w:eastAsia="仿宋_GB2312" w:cs="宋体"/>
                <w:color w:val="000000"/>
                <w:sz w:val="18"/>
                <w:szCs w:val="18"/>
                <w:lang w:val="en-US" w:eastAsia="zh-CN"/>
              </w:rPr>
            </w:pPr>
          </w:p>
          <w:p>
            <w:pPr>
              <w:jc w:val="center"/>
              <w:rPr>
                <w:rFonts w:hint="eastAsia" w:ascii="仿宋_GB2312" w:hAnsi="宋体" w:eastAsia="仿宋_GB2312" w:cs="宋体"/>
                <w:color w:val="000000"/>
                <w:sz w:val="18"/>
                <w:szCs w:val="18"/>
                <w:lang w:val="en-US" w:eastAsia="zh-CN"/>
              </w:rPr>
            </w:pPr>
          </w:p>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农</w:t>
            </w:r>
          </w:p>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村</w:t>
            </w:r>
          </w:p>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部</w:t>
            </w:r>
          </w:p>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分</w:t>
            </w:r>
          </w:p>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计</w:t>
            </w:r>
          </w:p>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划</w:t>
            </w:r>
          </w:p>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生</w:t>
            </w:r>
          </w:p>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育</w:t>
            </w:r>
          </w:p>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家</w:t>
            </w:r>
          </w:p>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庭</w:t>
            </w:r>
          </w:p>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奖</w:t>
            </w:r>
          </w:p>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励</w:t>
            </w:r>
          </w:p>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扶</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助</w:t>
            </w:r>
          </w:p>
        </w:tc>
        <w:tc>
          <w:tcPr>
            <w:tcW w:w="4140" w:type="dxa"/>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【法律】《中华人民共和国人口与计划生育法》（中华人民共和国主席令第41号2015年12月27日修正）</w:t>
            </w:r>
          </w:p>
          <w:p>
            <w:pP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【部门规章及规范性文件】《国务院关于印发国家基本公共服务体系“十二五”规划的通知》（国发﹝2012﹞29号）</w:t>
            </w:r>
          </w:p>
          <w:p>
            <w:pP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【部门规章及规范性文件】《关于开展对农 村部分计划生育家庭实行奖励扶助制度试点工作意见》（国办发〔2004〕21号）</w:t>
            </w:r>
          </w:p>
          <w:p>
            <w:pP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【部门规章及规范性文件】《关于调整全国农村部分计划生育家庭奖励扶助和计划生育家庭特别扶助标准的通知》（财教〔2011〕623号）</w:t>
            </w:r>
          </w:p>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【部门规章及规范性文件】《关于印发全国农村部分计划生育家庭奖励扶助制度管理规范的通知》（人口厅发〔2006〕122号）</w:t>
            </w:r>
          </w:p>
        </w:tc>
        <w:tc>
          <w:tcPr>
            <w:tcW w:w="144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文教卫健服务中心</w:t>
            </w:r>
          </w:p>
        </w:tc>
        <w:tc>
          <w:tcPr>
            <w:tcW w:w="108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96"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40" w:type="dxa"/>
            <w:vMerge w:val="restart"/>
            <w:noWrap w:val="0"/>
            <w:vAlign w:val="center"/>
          </w:tcPr>
          <w:p>
            <w:pPr>
              <w:jc w:val="center"/>
              <w:rPr>
                <w:rFonts w:hint="eastAsia" w:ascii="仿宋_GB2312" w:hAnsi="宋体" w:eastAsia="仿宋_GB2312" w:cs="宋体"/>
                <w:color w:val="000000"/>
                <w:sz w:val="18"/>
                <w:szCs w:val="18"/>
              </w:rPr>
            </w:pPr>
          </w:p>
        </w:tc>
        <w:tc>
          <w:tcPr>
            <w:tcW w:w="664"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申请材料</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受理范围及条件</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办理流程</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咨询投诉渠道</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96"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40" w:type="dxa"/>
            <w:vMerge w:val="continue"/>
            <w:noWrap w:val="0"/>
            <w:vAlign w:val="center"/>
          </w:tcPr>
          <w:p>
            <w:pPr>
              <w:jc w:val="center"/>
              <w:rPr>
                <w:rFonts w:hint="eastAsia" w:ascii="仿宋_GB2312" w:hAnsi="宋体" w:eastAsia="仿宋_GB2312" w:cs="宋体"/>
                <w:color w:val="000000"/>
                <w:sz w:val="18"/>
                <w:szCs w:val="18"/>
              </w:rPr>
            </w:pPr>
          </w:p>
        </w:tc>
        <w:tc>
          <w:tcPr>
            <w:tcW w:w="664" w:type="dxa"/>
            <w:vMerge w:val="continue"/>
            <w:noWrap w:val="0"/>
            <w:vAlign w:val="center"/>
          </w:tcPr>
          <w:p>
            <w:pPr>
              <w:jc w:val="center"/>
              <w:rPr>
                <w:rFonts w:hint="eastAsia"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trPr>
        <w:tc>
          <w:tcPr>
            <w:tcW w:w="540" w:type="dxa"/>
            <w:vMerge w:val="restart"/>
            <w:noWrap w:val="0"/>
            <w:vAlign w:val="center"/>
          </w:tcPr>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w:t>
            </w:r>
          </w:p>
        </w:tc>
        <w:tc>
          <w:tcPr>
            <w:tcW w:w="720" w:type="dxa"/>
            <w:vMerge w:val="restart"/>
            <w:noWrap w:val="0"/>
            <w:vAlign w:val="center"/>
          </w:tcPr>
          <w:p>
            <w:pPr>
              <w:jc w:val="center"/>
              <w:rPr>
                <w:rFonts w:hint="eastAsia" w:ascii="仿宋_GB2312" w:hAnsi="宋体" w:eastAsia="仿宋_GB2312" w:cs="宋体"/>
                <w:bCs/>
                <w:color w:val="000000"/>
                <w:sz w:val="18"/>
                <w:szCs w:val="18"/>
              </w:rPr>
            </w:pPr>
            <w:r>
              <w:rPr>
                <w:rFonts w:hint="eastAsia" w:ascii="仿宋_GB2312" w:hAnsi="宋体" w:eastAsia="仿宋_GB2312" w:cs="Times New Roman"/>
                <w:bCs/>
                <w:color w:val="000000"/>
                <w:sz w:val="18"/>
                <w:szCs w:val="18"/>
              </w:rPr>
              <w:t>行政</w:t>
            </w:r>
            <w:r>
              <w:rPr>
                <w:rFonts w:hint="eastAsia" w:ascii="仿宋_GB2312" w:hAnsi="宋体" w:eastAsia="仿宋_GB2312" w:cs="Times New Roman"/>
                <w:bCs/>
                <w:color w:val="000000"/>
                <w:sz w:val="18"/>
                <w:szCs w:val="18"/>
                <w:lang w:eastAsia="zh-CN"/>
              </w:rPr>
              <w:t>给付</w:t>
            </w:r>
            <w:r>
              <w:rPr>
                <w:rFonts w:hint="eastAsia" w:ascii="仿宋_GB2312" w:hAnsi="宋体" w:eastAsia="仿宋_GB2312" w:cs="Times New Roman"/>
                <w:bCs/>
                <w:color w:val="000000"/>
                <w:sz w:val="18"/>
                <w:szCs w:val="18"/>
              </w:rPr>
              <w:t>类事项</w:t>
            </w:r>
          </w:p>
        </w:tc>
        <w:tc>
          <w:tcPr>
            <w:tcW w:w="1188"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计划生育家庭特别扶助</w:t>
            </w:r>
          </w:p>
        </w:tc>
        <w:tc>
          <w:tcPr>
            <w:tcW w:w="4140" w:type="dxa"/>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【法律】《中华人民共和国人口与计划生育法》（中华人民共和国主席令第41号2015年12月27日修正）</w:t>
            </w:r>
          </w:p>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【部门规章及规范性文件】《关于印发全国独生子女伤残死亡家庭特别扶助制度试点方案的通知》（国人口发〔2007〕78 号）</w:t>
            </w:r>
          </w:p>
        </w:tc>
        <w:tc>
          <w:tcPr>
            <w:tcW w:w="144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文教卫健服务中心</w:t>
            </w:r>
          </w:p>
        </w:tc>
        <w:tc>
          <w:tcPr>
            <w:tcW w:w="108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96"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40" w:type="dxa"/>
            <w:vMerge w:val="restart"/>
            <w:noWrap w:val="0"/>
            <w:vAlign w:val="center"/>
          </w:tcPr>
          <w:p>
            <w:pPr>
              <w:jc w:val="center"/>
              <w:rPr>
                <w:rFonts w:hint="eastAsia" w:ascii="仿宋_GB2312" w:hAnsi="宋体" w:eastAsia="仿宋_GB2312" w:cs="宋体"/>
                <w:color w:val="000000"/>
                <w:sz w:val="18"/>
                <w:szCs w:val="18"/>
              </w:rPr>
            </w:pPr>
          </w:p>
        </w:tc>
        <w:tc>
          <w:tcPr>
            <w:tcW w:w="664"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申请材料</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受理范围及条件</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办理流程</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咨询投诉渠道</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96"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40" w:type="dxa"/>
            <w:vMerge w:val="continue"/>
            <w:noWrap w:val="0"/>
            <w:vAlign w:val="center"/>
          </w:tcPr>
          <w:p>
            <w:pPr>
              <w:jc w:val="center"/>
              <w:rPr>
                <w:rFonts w:hint="eastAsia" w:ascii="仿宋_GB2312" w:hAnsi="宋体" w:eastAsia="仿宋_GB2312" w:cs="宋体"/>
                <w:color w:val="000000"/>
                <w:sz w:val="18"/>
                <w:szCs w:val="18"/>
              </w:rPr>
            </w:pPr>
          </w:p>
        </w:tc>
        <w:tc>
          <w:tcPr>
            <w:tcW w:w="664" w:type="dxa"/>
            <w:vMerge w:val="continue"/>
            <w:noWrap w:val="0"/>
            <w:vAlign w:val="center"/>
          </w:tcPr>
          <w:p>
            <w:pPr>
              <w:jc w:val="center"/>
              <w:rPr>
                <w:rFonts w:hint="eastAsia"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trPr>
        <w:tc>
          <w:tcPr>
            <w:tcW w:w="540" w:type="dxa"/>
            <w:vMerge w:val="restart"/>
            <w:noWrap w:val="0"/>
            <w:vAlign w:val="center"/>
          </w:tcPr>
          <w:p>
            <w:pPr>
              <w:jc w:val="center"/>
              <w:rPr>
                <w:rFonts w:hint="eastAsia" w:eastAsia="宋体"/>
                <w:lang w:val="en-US" w:eastAsia="zh-CN"/>
              </w:rPr>
            </w:pPr>
            <w:r>
              <w:rPr>
                <w:rFonts w:hint="eastAsia" w:ascii="仿宋_GB2312" w:hAnsi="宋体" w:eastAsia="仿宋_GB2312" w:cs="Times New Roman"/>
                <w:color w:val="000000"/>
                <w:sz w:val="18"/>
                <w:szCs w:val="18"/>
                <w:lang w:val="en-US" w:eastAsia="zh-CN"/>
              </w:rPr>
              <w:t>5</w:t>
            </w:r>
          </w:p>
        </w:tc>
        <w:tc>
          <w:tcPr>
            <w:tcW w:w="720" w:type="dxa"/>
            <w:vMerge w:val="restart"/>
            <w:noWrap w:val="0"/>
            <w:vAlign w:val="center"/>
          </w:tcPr>
          <w:p>
            <w:pPr>
              <w:jc w:val="center"/>
              <w:rPr>
                <w:rFonts w:hint="eastAsia" w:eastAsia="宋体"/>
                <w:lang w:eastAsia="zh-CN"/>
              </w:rPr>
            </w:pPr>
            <w:r>
              <w:rPr>
                <w:rFonts w:hint="eastAsia" w:ascii="仿宋_GB2312" w:hAnsi="宋体" w:eastAsia="仿宋_GB2312" w:cs="Times New Roman"/>
                <w:color w:val="000000"/>
                <w:sz w:val="18"/>
                <w:szCs w:val="18"/>
                <w:lang w:eastAsia="zh-CN"/>
              </w:rPr>
              <w:t>公共卫</w:t>
            </w:r>
            <w:bookmarkStart w:id="1" w:name="_GoBack"/>
            <w:bookmarkEnd w:id="1"/>
            <w:r>
              <w:rPr>
                <w:rFonts w:hint="eastAsia" w:ascii="仿宋_GB2312" w:hAnsi="宋体" w:eastAsia="仿宋_GB2312" w:cs="Times New Roman"/>
                <w:color w:val="000000"/>
                <w:sz w:val="18"/>
                <w:szCs w:val="18"/>
                <w:lang w:eastAsia="zh-CN"/>
              </w:rPr>
              <w:t>生服务事项</w:t>
            </w:r>
          </w:p>
        </w:tc>
        <w:tc>
          <w:tcPr>
            <w:tcW w:w="1188" w:type="dxa"/>
            <w:vMerge w:val="restart"/>
            <w:noWrap w:val="0"/>
            <w:vAlign w:val="center"/>
          </w:tcPr>
          <w:p>
            <w:pPr>
              <w:jc w:val="center"/>
            </w:pPr>
            <w:r>
              <w:rPr>
                <w:rFonts w:hint="eastAsia" w:ascii="仿宋_GB2312" w:hAnsi="宋体" w:eastAsia="仿宋_GB2312" w:cs="Times New Roman"/>
                <w:color w:val="000000"/>
                <w:sz w:val="18"/>
                <w:szCs w:val="18"/>
                <w:lang w:val="en-US" w:eastAsia="zh-CN"/>
              </w:rPr>
              <w:t>严重精神障碍患者管理</w:t>
            </w: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【部门规章及规范性文件】《国家基本公共卫生服务规范（第三版）》（国卫基层发〔2017〕13号）</w:t>
            </w:r>
          </w:p>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【部门规章及规范性文件】《关于做好 2017年国家基本公共卫生服务项目工作的通知》（国卫基层发〔2017〕46号）</w:t>
            </w:r>
          </w:p>
          <w:p>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【部门规章及规范性文件】《关于做好 2018年国家基本公共卫生服务项目工作的通知》（国卫基层发〔2018〕18号）</w:t>
            </w:r>
          </w:p>
        </w:tc>
        <w:tc>
          <w:tcPr>
            <w:tcW w:w="144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eastAsia="zh-CN"/>
              </w:rPr>
              <w:t>文教卫健服务中心</w:t>
            </w:r>
          </w:p>
        </w:tc>
        <w:tc>
          <w:tcPr>
            <w:tcW w:w="108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96"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4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664"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atLeast"/>
        </w:trPr>
        <w:tc>
          <w:tcPr>
            <w:tcW w:w="540" w:type="dxa"/>
            <w:vMerge w:val="continue"/>
            <w:noWrap w:val="0"/>
            <w:vAlign w:val="center"/>
          </w:tcPr>
          <w:p/>
        </w:tc>
        <w:tc>
          <w:tcPr>
            <w:tcW w:w="720" w:type="dxa"/>
            <w:vMerge w:val="continue"/>
            <w:noWrap w:val="0"/>
            <w:vAlign w:val="center"/>
          </w:tcPr>
          <w:p/>
        </w:tc>
        <w:tc>
          <w:tcPr>
            <w:tcW w:w="1188" w:type="dxa"/>
            <w:vMerge w:val="continue"/>
            <w:noWrap w:val="0"/>
            <w:vAlign w:val="center"/>
          </w:tc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服务对象</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服务机构信息，包括名称、地点、服务时间</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服务项目和内容</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服务流程</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2"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服务要求</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投诉举报电话以及网上投诉渠道</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2" w:hRule="atLeast"/>
        </w:trPr>
        <w:tc>
          <w:tcPr>
            <w:tcW w:w="540" w:type="dxa"/>
            <w:vMerge w:val="restart"/>
            <w:noWrap w:val="0"/>
            <w:vAlign w:val="center"/>
          </w:tcPr>
          <w:p>
            <w:pPr>
              <w:jc w:val="center"/>
              <w:rPr>
                <w:rFonts w:hint="default" w:eastAsia="宋体"/>
                <w:lang w:val="en-US" w:eastAsia="zh-CN"/>
              </w:rPr>
            </w:pPr>
            <w:r>
              <w:rPr>
                <w:rFonts w:hint="eastAsia" w:ascii="仿宋_GB2312" w:hAnsi="宋体" w:eastAsia="仿宋_GB2312" w:cs="Times New Roman"/>
                <w:color w:val="000000"/>
                <w:sz w:val="18"/>
                <w:szCs w:val="18"/>
                <w:lang w:val="en-US" w:eastAsia="zh-CN"/>
              </w:rPr>
              <w:t>6</w:t>
            </w:r>
          </w:p>
        </w:tc>
        <w:tc>
          <w:tcPr>
            <w:tcW w:w="720" w:type="dxa"/>
            <w:vMerge w:val="restart"/>
            <w:noWrap w:val="0"/>
            <w:vAlign w:val="center"/>
          </w:tcPr>
          <w:p>
            <w:pPr>
              <w:jc w:val="center"/>
              <w:rPr>
                <w:rFonts w:hint="eastAsia" w:eastAsia="宋体"/>
                <w:lang w:eastAsia="zh-CN"/>
              </w:rPr>
            </w:pPr>
            <w:r>
              <w:rPr>
                <w:rFonts w:hint="eastAsia" w:ascii="仿宋_GB2312" w:hAnsi="宋体" w:eastAsia="仿宋_GB2312" w:cs="Times New Roman"/>
                <w:color w:val="000000"/>
                <w:sz w:val="18"/>
                <w:szCs w:val="18"/>
                <w:lang w:eastAsia="zh-CN"/>
              </w:rPr>
              <w:t>公共卫生服务事项</w:t>
            </w:r>
          </w:p>
        </w:tc>
        <w:tc>
          <w:tcPr>
            <w:tcW w:w="1188" w:type="dxa"/>
            <w:vMerge w:val="restart"/>
            <w:noWrap w:val="0"/>
            <w:vAlign w:val="center"/>
          </w:tcPr>
          <w:p>
            <w:pPr>
              <w:jc w:val="center"/>
            </w:pPr>
            <w:r>
              <w:rPr>
                <w:rFonts w:hint="eastAsia" w:ascii="仿宋_GB2312" w:hAnsi="宋体" w:eastAsia="仿宋_GB2312" w:cs="Times New Roman"/>
                <w:color w:val="000000"/>
                <w:sz w:val="18"/>
                <w:szCs w:val="18"/>
                <w:lang w:val="en-US" w:eastAsia="zh-CN"/>
              </w:rPr>
              <w:t>免费孕前优生健康检查</w:t>
            </w: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【部门规章及规范性文件】《国家人口计生委、财政部关于开展国家免费孕前优生健康检查项目试点工作的通知》 （国人口发〔2010〕29号）</w:t>
            </w:r>
          </w:p>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【部门规章及规范性文件】《国家卫生计生委办公厅关于做好2016年国家免费孕前优生健康检查项目工作的通知》（国卫办妇幼函〔2016〕894号）</w:t>
            </w:r>
          </w:p>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【部门规章及规范性文件】《关于做好 2019年基本公共卫生服务项目工作的通知》</w:t>
            </w:r>
          </w:p>
          <w:p>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【部门规章及规范性文件】《新划入基本公共卫生服务相关工作规范（2019 版）》</w:t>
            </w:r>
          </w:p>
        </w:tc>
        <w:tc>
          <w:tcPr>
            <w:tcW w:w="144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eastAsia="zh-CN"/>
              </w:rPr>
              <w:t>文教卫健服务中心</w:t>
            </w:r>
          </w:p>
        </w:tc>
        <w:tc>
          <w:tcPr>
            <w:tcW w:w="108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96"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4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664"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7" w:hRule="atLeast"/>
        </w:trPr>
        <w:tc>
          <w:tcPr>
            <w:tcW w:w="540" w:type="dxa"/>
            <w:vMerge w:val="continue"/>
            <w:noWrap w:val="0"/>
            <w:vAlign w:val="center"/>
          </w:tcPr>
          <w:p/>
        </w:tc>
        <w:tc>
          <w:tcPr>
            <w:tcW w:w="720" w:type="dxa"/>
            <w:vMerge w:val="continue"/>
            <w:noWrap w:val="0"/>
            <w:vAlign w:val="center"/>
          </w:tcPr>
          <w:p/>
        </w:tc>
        <w:tc>
          <w:tcPr>
            <w:tcW w:w="1188" w:type="dxa"/>
            <w:vMerge w:val="continue"/>
            <w:noWrap w:val="0"/>
            <w:vAlign w:val="center"/>
          </w:tc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服务对象</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服务机构信息，包括名称、地点、服务时间</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服务项目和内容</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2"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服务流程</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2"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服务要求</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投诉举报电话以及网上投诉渠道</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6538BD"/>
    <w:rsid w:val="236538BD"/>
    <w:rsid w:val="2C7756C8"/>
    <w:rsid w:val="5F982F3C"/>
    <w:rsid w:val="6933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0"/>
    <w:pPr>
      <w:keepNext/>
      <w:keepLines/>
      <w:widowControl w:val="0"/>
      <w:spacing w:before="340" w:after="330" w:line="578" w:lineRule="auto"/>
      <w:jc w:val="both"/>
      <w:outlineLvl w:val="0"/>
    </w:pPr>
    <w:rPr>
      <w:rFonts w:ascii="Calibri" w:hAnsi="Calibri" w:eastAsia="宋体" w:cs="Times New Roman"/>
      <w:b/>
      <w:bCs/>
      <w:kern w:val="44"/>
      <w:sz w:val="44"/>
      <w:szCs w:val="4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2020-11-18T03:16:00Z</dcterms:created>
  <dc:creator>Administrator</dc:creator>
  <cp:lastModifiedBy>小壮丁</cp:lastModifiedBy>
  <dcterms:modified xsi:type="dcterms:W3CDTF">2020-12-03T07:46:38Z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