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 w:ascii="方正小标宋_GBK" w:hAnsi="方正小标宋_GBK" w:eastAsia="方正小标宋_GBK" w:cs="Times New Roman"/>
          <w:b w:val="0"/>
          <w:bCs w:val="0"/>
          <w:sz w:val="30"/>
          <w:lang w:eastAsia="zh-CN"/>
        </w:rPr>
      </w:pPr>
      <w:bookmarkStart w:id="0" w:name="_Toc24724711"/>
      <w:r>
        <w:rPr>
          <w:rFonts w:hint="eastAsia" w:ascii="方正小标宋_GBK" w:hAnsi="方正小标宋_GBK" w:eastAsia="方正小标宋_GBK" w:cs="Times New Roman"/>
          <w:b w:val="0"/>
          <w:bCs w:val="0"/>
          <w:sz w:val="30"/>
        </w:rPr>
        <w:t>财政预决算领域基层政务公开标准目录</w:t>
      </w:r>
      <w:bookmarkEnd w:id="0"/>
    </w:p>
    <w:tbl>
      <w:tblPr>
        <w:tblStyle w:val="3"/>
        <w:tblW w:w="15480" w:type="dxa"/>
        <w:tblInd w:w="-7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720"/>
        <w:gridCol w:w="720"/>
        <w:gridCol w:w="3240"/>
        <w:gridCol w:w="1800"/>
        <w:gridCol w:w="1620"/>
        <w:gridCol w:w="900"/>
        <w:gridCol w:w="1800"/>
        <w:gridCol w:w="720"/>
        <w:gridCol w:w="709"/>
        <w:gridCol w:w="551"/>
        <w:gridCol w:w="720"/>
        <w:gridCol w:w="720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324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180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62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90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180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kern w:val="0"/>
                <w:sz w:val="22"/>
              </w:rPr>
              <w:t>公开渠道和载体</w:t>
            </w:r>
          </w:p>
        </w:tc>
        <w:tc>
          <w:tcPr>
            <w:tcW w:w="142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7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324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80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62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80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kern w:val="0"/>
                <w:sz w:val="22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51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乡、村级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20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24"/>
                <w:szCs w:val="24"/>
                <w:lang w:eastAsia="zh-CN"/>
              </w:rPr>
            </w:pPr>
          </w:p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24"/>
                <w:szCs w:val="24"/>
                <w:lang w:eastAsia="zh-CN"/>
              </w:rPr>
            </w:pPr>
          </w:p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24"/>
                <w:szCs w:val="24"/>
                <w:lang w:eastAsia="zh-CN"/>
              </w:rPr>
            </w:pPr>
          </w:p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24"/>
                <w:szCs w:val="24"/>
                <w:lang w:eastAsia="zh-CN"/>
              </w:rPr>
            </w:pPr>
          </w:p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24"/>
                <w:szCs w:val="24"/>
                <w:lang w:eastAsia="zh-CN"/>
              </w:rPr>
              <w:t>财</w:t>
            </w:r>
          </w:p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24"/>
                <w:szCs w:val="24"/>
                <w:lang w:eastAsia="zh-CN"/>
              </w:rPr>
              <w:t>政</w:t>
            </w:r>
          </w:p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24"/>
                <w:szCs w:val="24"/>
                <w:lang w:eastAsia="zh-CN"/>
              </w:rPr>
              <w:t>资</w:t>
            </w:r>
          </w:p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24"/>
                <w:szCs w:val="24"/>
                <w:lang w:eastAsia="zh-CN"/>
              </w:rPr>
              <w:t>金</w:t>
            </w:r>
          </w:p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24"/>
                <w:szCs w:val="24"/>
                <w:lang w:eastAsia="zh-CN"/>
              </w:rPr>
            </w:pPr>
          </w:p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24"/>
                <w:szCs w:val="24"/>
                <w:lang w:eastAsia="zh-CN"/>
              </w:rPr>
            </w:pPr>
          </w:p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24"/>
                <w:szCs w:val="24"/>
                <w:lang w:eastAsia="zh-CN"/>
              </w:rPr>
            </w:pPr>
          </w:p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24"/>
                <w:szCs w:val="24"/>
                <w:lang w:eastAsia="zh-CN"/>
              </w:rPr>
            </w:pPr>
          </w:p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24"/>
                <w:szCs w:val="24"/>
                <w:lang w:eastAsia="zh-CN"/>
              </w:rPr>
            </w:pPr>
          </w:p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24"/>
                <w:szCs w:val="24"/>
                <w:lang w:eastAsia="zh-CN"/>
              </w:rPr>
            </w:pPr>
          </w:p>
          <w:p>
            <w:pPr>
              <w:widowControl/>
              <w:jc w:val="both"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24"/>
                <w:szCs w:val="24"/>
                <w:lang w:eastAsia="zh-CN"/>
              </w:rPr>
            </w:pPr>
            <w:bookmarkStart w:id="1" w:name="_GoBack"/>
            <w:bookmarkEnd w:id="1"/>
          </w:p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24"/>
                <w:szCs w:val="24"/>
                <w:lang w:eastAsia="zh-CN"/>
              </w:rPr>
            </w:pPr>
          </w:p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24"/>
                <w:szCs w:val="24"/>
                <w:lang w:eastAsia="zh-CN"/>
              </w:rPr>
              <w:t>财</w:t>
            </w:r>
          </w:p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24"/>
                <w:szCs w:val="24"/>
                <w:lang w:eastAsia="zh-CN"/>
              </w:rPr>
              <w:t>政</w:t>
            </w:r>
          </w:p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24"/>
                <w:szCs w:val="24"/>
                <w:lang w:eastAsia="zh-CN"/>
              </w:rPr>
              <w:t>资</w:t>
            </w:r>
          </w:p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24"/>
                <w:szCs w:val="24"/>
                <w:lang w:eastAsia="zh-CN"/>
              </w:rPr>
              <w:t>金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年度财政预决算</w:t>
            </w:r>
          </w:p>
        </w:tc>
        <w:tc>
          <w:tcPr>
            <w:tcW w:w="3240" w:type="dxa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上年度财政预算执行情况和本年度财政预算草案报告；本年度预算报表及说明，预算调整的决定或批复；上年度决算报表及说明等信息。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《中华人民共和国预算法》；</w:t>
            </w:r>
          </w:p>
          <w:p>
            <w:pPr>
              <w:widowControl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《中共中央办公厅国务院办公厅印发〈关于进一步推进预算公开工作的意见〉的通知》（中办发〔2016〕13号）；</w:t>
            </w:r>
          </w:p>
          <w:p>
            <w:pPr>
              <w:widowControl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《关于印发〈地方预决算公开操作规程〉的通知》（财预〔2016〕143号）。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自该信息形成或者变更之日起20个工作日内。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  <w:t>财审统计服务中心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51" w:type="dxa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Merge w:val="continue"/>
            <w:tcBorders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0" w:type="dxa"/>
            <w:vMerge w:val="continue"/>
            <w:tcBorders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  <w:t>“三公”经费</w:t>
            </w:r>
          </w:p>
        </w:tc>
        <w:tc>
          <w:tcPr>
            <w:tcW w:w="3240" w:type="dxa"/>
            <w:noWrap w:val="0"/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本年度“三公”经费预算安排；上年度“三公”经费决算报告包括细化说明因公出国（境）团组数及人数；公务用车购置数及保有量；国内公务接待的批次、人数；“三公”经费增减变化原因等信息。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《中华人民共和国预算法》；</w:t>
            </w:r>
          </w:p>
          <w:p>
            <w:pPr>
              <w:widowControl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《中共中央办公厅国务院办公厅印发〈关于进一步推进预算公开工作的意见〉的通知》（中办发〔2016〕13号）；</w:t>
            </w:r>
          </w:p>
          <w:p>
            <w:pPr>
              <w:widowControl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《关于印发〈地方预决算公开操作规程〉的通知》（财预〔2016〕143号）。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自该信息形成或者变更之日起20个工作日内。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  <w:t>财审统计服务中心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■政府网站</w:t>
            </w:r>
          </w:p>
          <w:p>
            <w:pPr>
              <w:widowControl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■财政部门网站公开平台</w:t>
            </w:r>
          </w:p>
          <w:p>
            <w:pPr>
              <w:widowControl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□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政府公报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noWrap w:val="0"/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</w:tr>
    </w:tbl>
    <w:p>
      <w:pPr>
        <w:jc w:val="center"/>
        <w:rPr>
          <w:rFonts w:ascii="Times New Roman" w:hAnsi="Times New Roman" w:eastAsia="方正小标宋_GBK" w:cs="Times New Roman"/>
          <w:color w:val="FF0000"/>
          <w:sz w:val="28"/>
          <w:szCs w:val="28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9A4E01"/>
    <w:rsid w:val="0F9A4E01"/>
    <w:rsid w:val="138F292C"/>
    <w:rsid w:val="39325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widowControl w:val="0"/>
      <w:spacing w:before="340" w:after="330" w:line="578" w:lineRule="auto"/>
      <w:jc w:val="both"/>
      <w:outlineLvl w:val="0"/>
    </w:pPr>
    <w:rPr>
      <w:rFonts w:ascii="Calibri" w:hAnsi="Calibri" w:eastAsia="宋体" w:cs="Times New Roman"/>
      <w:b/>
      <w:bCs/>
      <w:kern w:val="44"/>
      <w:sz w:val="44"/>
      <w:szCs w:val="4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2020-11-16T09:14:00Z</dcterms:created>
  <dc:creator>Administrator</dc:creator>
  <cp:lastModifiedBy>小壮丁</cp:lastModifiedBy>
  <dcterms:modified xsi:type="dcterms:W3CDTF">2020-12-03T07:31:41Z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