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未涉及领域情况</w:t>
      </w:r>
      <w:r>
        <w:rPr>
          <w:rFonts w:hint="eastAsia" w:ascii="文星标宋" w:hAnsi="文星标宋" w:eastAsia="文星标宋" w:cs="文星标宋"/>
          <w:sz w:val="44"/>
          <w:szCs w:val="44"/>
        </w:rPr>
        <w:t>说明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本街道</w:t>
      </w:r>
      <w:r>
        <w:rPr>
          <w:sz w:val="32"/>
          <w:szCs w:val="32"/>
        </w:rPr>
        <w:t>根据基层实际，结合</w:t>
      </w:r>
      <w:r>
        <w:rPr>
          <w:rFonts w:hint="eastAsia"/>
          <w:sz w:val="32"/>
          <w:szCs w:val="32"/>
          <w:lang w:eastAsia="zh-CN"/>
        </w:rPr>
        <w:t>街道机构职能</w:t>
      </w:r>
      <w:r>
        <w:rPr>
          <w:sz w:val="32"/>
          <w:szCs w:val="32"/>
        </w:rPr>
        <w:t>，通过多次梳理，</w:t>
      </w:r>
      <w:r>
        <w:rPr>
          <w:rFonts w:hint="eastAsia"/>
          <w:sz w:val="32"/>
          <w:szCs w:val="32"/>
          <w:lang w:eastAsia="zh-CN"/>
        </w:rPr>
        <w:t>因职能限制本街道基层政务公开标准目录，未涉及“重大建设项目领域、公共资源交易、义务教育、户籍管理、公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共法律服务、税收管理、社会保险、就业领域、农村集体土地征收、城乡规划、国有土地上房屋征收与补偿、农村危房改造、保障性住房、涉农补贴、公共文化服务、食品药品监管领域”等</w:t>
      </w:r>
      <w:r>
        <w:rPr>
          <w:rFonts w:hint="eastAsia"/>
          <w:sz w:val="32"/>
          <w:szCs w:val="32"/>
          <w:lang w:val="en-US" w:eastAsia="zh-CN"/>
        </w:rPr>
        <w:t>16个领域</w:t>
      </w:r>
      <w:r>
        <w:rPr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912F7"/>
    <w:rsid w:val="3A68744E"/>
    <w:rsid w:val="3A8464C5"/>
    <w:rsid w:val="58391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99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2020-11-10T11:05:00Z</dcterms:created>
  <dc:creator>dell</dc:creator>
  <cp:lastModifiedBy>小壮丁</cp:lastModifiedBy>
  <dcterms:modified xsi:type="dcterms:W3CDTF">2020-12-03T08:34:58Z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