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w:t>
      </w:r>
      <w:r>
        <w:rPr>
          <w:rFonts w:hint="eastAsia" w:ascii="宋体" w:hAnsi="宋体" w:eastAsia="宋体" w:cs="宋体"/>
          <w:b/>
          <w:bCs/>
          <w:sz w:val="32"/>
          <w:szCs w:val="32"/>
          <w:lang w:eastAsia="zh-CN"/>
        </w:rPr>
        <w:t>周村区南郊镇NJ02-01、NJ02-02街坊控制性详细规划</w:t>
      </w:r>
      <w:r>
        <w:rPr>
          <w:rFonts w:hint="eastAsia" w:ascii="宋体" w:hAnsi="宋体" w:eastAsia="宋体" w:cs="宋体"/>
          <w:b/>
          <w:bCs/>
          <w:sz w:val="32"/>
          <w:szCs w:val="32"/>
        </w:rPr>
        <w:t>》</w:t>
      </w:r>
    </w:p>
    <w:p>
      <w:pPr>
        <w:spacing w:line="360" w:lineRule="auto"/>
        <w:jc w:val="center"/>
        <w:rPr>
          <w:rFonts w:ascii="宋体" w:hAnsi="宋体" w:eastAsia="宋体" w:cs="宋体"/>
          <w:b/>
          <w:bCs/>
          <w:sz w:val="36"/>
          <w:szCs w:val="36"/>
        </w:rPr>
      </w:pPr>
      <w:r>
        <w:rPr>
          <w:rFonts w:hint="eastAsia" w:ascii="宋体" w:hAnsi="宋体" w:eastAsia="宋体" w:cs="宋体"/>
          <w:b/>
          <w:bCs/>
          <w:sz w:val="32"/>
          <w:szCs w:val="32"/>
        </w:rPr>
        <w:t>批前公示</w:t>
      </w:r>
    </w:p>
    <w:p>
      <w:pPr>
        <w:pStyle w:val="5"/>
        <w:spacing w:line="360" w:lineRule="auto"/>
        <w:ind w:firstLine="562" w:firstLineChars="200"/>
        <w:rPr>
          <w:rFonts w:ascii="宋体" w:hAnsi="宋体" w:eastAsia="宋体" w:cs="宋体"/>
          <w:b/>
          <w:bCs/>
          <w:sz w:val="28"/>
          <w:szCs w:val="28"/>
        </w:rPr>
      </w:pPr>
    </w:p>
    <w:p>
      <w:pPr>
        <w:pStyle w:val="5"/>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一、规划范围</w:t>
      </w:r>
    </w:p>
    <w:p>
      <w:pPr>
        <w:pStyle w:val="5"/>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eastAsia="zh-CN"/>
        </w:rPr>
        <w:t>本次规划范围为南郊镇中北部，</w:t>
      </w:r>
      <w:r>
        <w:rPr>
          <w:rFonts w:hint="eastAsia" w:ascii="宋体" w:hAnsi="宋体" w:eastAsia="宋体" w:cs="宋体"/>
          <w:sz w:val="28"/>
          <w:szCs w:val="28"/>
          <w:lang w:val="en-US" w:eastAsia="zh-CN"/>
        </w:rPr>
        <w:t>北至胶济铁路，南至规划周隆路，西至南郊镇镇界，</w:t>
      </w:r>
      <w:r>
        <w:rPr>
          <w:rFonts w:hint="eastAsia" w:ascii="宋体" w:hAnsi="宋体" w:eastAsia="宋体" w:cs="宋体"/>
          <w:sz w:val="28"/>
          <w:szCs w:val="28"/>
        </w:rPr>
        <w:t>规划总用地面积</w:t>
      </w:r>
      <w:r>
        <w:rPr>
          <w:rFonts w:hint="eastAsia" w:ascii="宋体" w:hAnsi="宋体" w:eastAsia="宋体" w:cs="宋体"/>
          <w:sz w:val="28"/>
          <w:szCs w:val="28"/>
          <w:lang w:val="en-US" w:eastAsia="zh-CN"/>
        </w:rPr>
        <w:t>112.77</w:t>
      </w:r>
      <w:r>
        <w:rPr>
          <w:rFonts w:hint="eastAsia" w:ascii="宋体" w:hAnsi="宋体" w:eastAsia="宋体" w:cs="宋体"/>
          <w:sz w:val="28"/>
          <w:szCs w:val="28"/>
        </w:rPr>
        <w:t>公顷。</w:t>
      </w:r>
    </w:p>
    <w:p>
      <w:pPr>
        <w:pStyle w:val="5"/>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二、规划依据</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sz w:val="28"/>
          <w:szCs w:val="28"/>
          <w:lang w:val="en-US" w:eastAsia="zh-CN"/>
        </w:rPr>
      </w:pPr>
      <w:r>
        <w:rPr>
          <w:rFonts w:hint="eastAsia" w:cs="宋体"/>
          <w:color w:val="auto"/>
          <w:kern w:val="0"/>
          <w:sz w:val="28"/>
          <w:szCs w:val="28"/>
          <w:lang w:val="en-US" w:eastAsia="zh-CN" w:bidi="ar"/>
        </w:rPr>
        <w:t>1.</w:t>
      </w:r>
      <w:r>
        <w:rPr>
          <w:rFonts w:hint="eastAsia" w:ascii="宋体" w:hAnsi="宋体" w:eastAsia="宋体" w:cs="宋体"/>
          <w:color w:val="auto"/>
          <w:kern w:val="0"/>
          <w:sz w:val="28"/>
          <w:szCs w:val="28"/>
          <w:lang w:val="en-US" w:eastAsia="zh-CN" w:bidi="ar"/>
        </w:rPr>
        <w:t>《中华人民共和国城乡规划法》（</w:t>
      </w:r>
      <w:r>
        <w:rPr>
          <w:rFonts w:hint="eastAsia" w:ascii="宋体" w:hAnsi="宋体" w:cs="宋体"/>
          <w:color w:val="auto"/>
          <w:sz w:val="28"/>
          <w:szCs w:val="28"/>
          <w:lang w:eastAsia="zh-CN"/>
        </w:rPr>
        <w:t>2019年修正版</w:t>
      </w:r>
      <w:r>
        <w:rPr>
          <w:rFonts w:hint="eastAsia" w:ascii="宋体" w:hAnsi="宋体" w:eastAsia="宋体" w:cs="宋体"/>
          <w:color w:val="auto"/>
          <w:kern w:val="0"/>
          <w:sz w:val="28"/>
          <w:szCs w:val="28"/>
          <w:lang w:val="en-US" w:eastAsia="zh-CN" w:bidi="ar"/>
        </w:rPr>
        <w:t>）；</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sz w:val="28"/>
          <w:szCs w:val="28"/>
          <w:lang w:val="en-US" w:eastAsia="zh-CN"/>
        </w:rPr>
      </w:pPr>
      <w:r>
        <w:rPr>
          <w:rFonts w:hint="eastAsia" w:cs="宋体"/>
          <w:color w:val="auto"/>
          <w:kern w:val="0"/>
          <w:sz w:val="28"/>
          <w:szCs w:val="28"/>
          <w:lang w:val="en-US" w:eastAsia="zh-CN" w:bidi="ar"/>
        </w:rPr>
        <w:t>2.</w:t>
      </w:r>
      <w:r>
        <w:rPr>
          <w:rFonts w:hint="eastAsia" w:ascii="宋体" w:hAnsi="宋体" w:eastAsia="宋体" w:cs="宋体"/>
          <w:color w:val="auto"/>
          <w:kern w:val="0"/>
          <w:sz w:val="28"/>
          <w:szCs w:val="28"/>
          <w:lang w:val="en-US" w:eastAsia="zh-CN" w:bidi="ar"/>
        </w:rPr>
        <w:t>《城市用地分类与规划建设用地标准》（GBJ50137—2011）；</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sz w:val="28"/>
          <w:szCs w:val="28"/>
          <w:lang w:val="en-US" w:eastAsia="zh-CN"/>
        </w:rPr>
      </w:pPr>
      <w:r>
        <w:rPr>
          <w:rFonts w:hint="eastAsia"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《城市规划编制办法》（建设部令第146号）；</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sz w:val="28"/>
          <w:szCs w:val="28"/>
          <w:lang w:val="en-US" w:eastAsia="zh-CN"/>
        </w:rPr>
      </w:pPr>
      <w:r>
        <w:rPr>
          <w:rFonts w:hint="eastAsia"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《城市、镇控制性详细规划编制审批办法》；</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sz w:val="28"/>
          <w:szCs w:val="28"/>
          <w:lang w:val="en-US" w:eastAsia="zh-CN"/>
        </w:rPr>
      </w:pPr>
      <w:r>
        <w:rPr>
          <w:rFonts w:hint="eastAsia" w:cs="宋体"/>
          <w:color w:val="auto"/>
          <w:kern w:val="0"/>
          <w:sz w:val="28"/>
          <w:szCs w:val="28"/>
          <w:lang w:val="en-US" w:eastAsia="zh-CN" w:bidi="ar"/>
        </w:rPr>
        <w:t>5.</w:t>
      </w:r>
      <w:r>
        <w:rPr>
          <w:rFonts w:hint="eastAsia" w:ascii="宋体" w:hAnsi="宋体" w:eastAsia="宋体" w:cs="宋体"/>
          <w:color w:val="auto"/>
          <w:kern w:val="0"/>
          <w:sz w:val="28"/>
          <w:szCs w:val="28"/>
          <w:lang w:val="en-US" w:eastAsia="zh-CN" w:bidi="ar"/>
        </w:rPr>
        <w:t>《城市居住区规划设计标准》（GB50180-2018）；</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6.</w:t>
      </w:r>
      <w:r>
        <w:rPr>
          <w:rFonts w:hint="eastAsia" w:ascii="宋体" w:hAnsi="宋体" w:eastAsia="宋体" w:cs="宋体"/>
          <w:color w:val="auto"/>
          <w:kern w:val="0"/>
          <w:sz w:val="28"/>
          <w:szCs w:val="28"/>
          <w:lang w:val="en-US" w:eastAsia="zh-CN" w:bidi="ar"/>
        </w:rPr>
        <w:t>《城市道路交通组织设计规范》(GB/T36670-2018)；</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sz w:val="28"/>
          <w:szCs w:val="28"/>
          <w:lang w:val="en-US" w:eastAsia="zh-CN"/>
        </w:rPr>
      </w:pPr>
      <w:r>
        <w:rPr>
          <w:rFonts w:hint="eastAsia" w:cs="宋体"/>
          <w:color w:val="auto"/>
          <w:kern w:val="0"/>
          <w:sz w:val="28"/>
          <w:szCs w:val="28"/>
          <w:lang w:val="en-US" w:eastAsia="zh-CN" w:bidi="ar"/>
        </w:rPr>
        <w:t>7.</w:t>
      </w:r>
      <w:r>
        <w:rPr>
          <w:rFonts w:hint="eastAsia" w:ascii="宋体" w:hAnsi="宋体" w:eastAsia="宋体" w:cs="宋体"/>
          <w:color w:val="auto"/>
          <w:kern w:val="0"/>
          <w:sz w:val="28"/>
          <w:szCs w:val="28"/>
          <w:lang w:val="en-US" w:eastAsia="zh-CN" w:bidi="ar"/>
        </w:rPr>
        <w:t>《山东省幼儿园基本办园条件标准》；</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sz w:val="28"/>
          <w:szCs w:val="28"/>
          <w:lang w:val="en-US" w:eastAsia="zh-CN"/>
        </w:rPr>
      </w:pPr>
      <w:r>
        <w:rPr>
          <w:rFonts w:hint="eastAsia" w:cs="宋体"/>
          <w:color w:val="auto"/>
          <w:kern w:val="0"/>
          <w:sz w:val="28"/>
          <w:szCs w:val="28"/>
          <w:lang w:val="en-US" w:eastAsia="zh-CN" w:bidi="ar"/>
        </w:rPr>
        <w:t>8.</w:t>
      </w:r>
      <w:r>
        <w:rPr>
          <w:rFonts w:hint="eastAsia" w:ascii="宋体" w:hAnsi="宋体" w:eastAsia="宋体" w:cs="宋体"/>
          <w:color w:val="auto"/>
          <w:kern w:val="0"/>
          <w:sz w:val="28"/>
          <w:szCs w:val="28"/>
          <w:lang w:val="en-US" w:eastAsia="zh-CN" w:bidi="ar"/>
        </w:rPr>
        <w:t>《城市社区体育设施建设用地指标》；</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9.</w:t>
      </w:r>
      <w:r>
        <w:rPr>
          <w:rFonts w:hint="eastAsia" w:ascii="宋体" w:hAnsi="宋体" w:eastAsia="宋体" w:cs="宋体"/>
          <w:color w:val="auto"/>
          <w:kern w:val="0"/>
          <w:sz w:val="28"/>
          <w:szCs w:val="28"/>
          <w:lang w:val="en-US" w:eastAsia="zh-CN" w:bidi="ar"/>
        </w:rPr>
        <w:t>《城市道路公共交通站、场、厂工程设计规范》（</w:t>
      </w:r>
      <w:r>
        <w:rPr>
          <w:rFonts w:hint="default" w:ascii="宋体" w:hAnsi="宋体" w:eastAsia="宋体" w:cs="宋体"/>
          <w:color w:val="auto"/>
          <w:kern w:val="0"/>
          <w:sz w:val="28"/>
          <w:szCs w:val="28"/>
          <w:lang w:val="en-US" w:eastAsia="zh-CN" w:bidi="ar"/>
        </w:rPr>
        <w:t>CJJ/T15-2011</w:t>
      </w:r>
      <w:r>
        <w:rPr>
          <w:rFonts w:hint="eastAsia" w:ascii="宋体" w:hAnsi="宋体" w:eastAsia="宋体" w:cs="宋体"/>
          <w:color w:val="auto"/>
          <w:kern w:val="0"/>
          <w:sz w:val="28"/>
          <w:szCs w:val="28"/>
          <w:lang w:val="en-US" w:eastAsia="zh-CN" w:bidi="ar"/>
        </w:rPr>
        <w:t>）；</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10.</w:t>
      </w:r>
      <w:r>
        <w:rPr>
          <w:rFonts w:hint="eastAsia" w:ascii="宋体" w:hAnsi="宋体" w:eastAsia="宋体" w:cs="宋体"/>
          <w:color w:val="auto"/>
          <w:kern w:val="0"/>
          <w:sz w:val="28"/>
          <w:szCs w:val="28"/>
          <w:lang w:val="en-US" w:eastAsia="zh-CN" w:bidi="ar"/>
        </w:rPr>
        <w:t>《山东省建设用地控制标准》；</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11.</w:t>
      </w:r>
      <w:r>
        <w:rPr>
          <w:rFonts w:hint="eastAsia" w:ascii="宋体" w:hAnsi="宋体" w:eastAsia="宋体" w:cs="宋体"/>
          <w:color w:val="auto"/>
          <w:kern w:val="0"/>
          <w:sz w:val="28"/>
          <w:szCs w:val="28"/>
          <w:lang w:val="en-US" w:eastAsia="zh-CN" w:bidi="ar"/>
        </w:rPr>
        <w:t>《山东省建设项目配建停车泊位设置标准》；</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12.</w:t>
      </w:r>
      <w:r>
        <w:rPr>
          <w:rFonts w:hint="eastAsia" w:ascii="宋体" w:hAnsi="宋体" w:eastAsia="宋体" w:cs="宋体"/>
          <w:color w:val="auto"/>
          <w:kern w:val="0"/>
          <w:sz w:val="28"/>
          <w:szCs w:val="28"/>
          <w:lang w:val="en-US" w:eastAsia="zh-CN" w:bidi="ar"/>
        </w:rPr>
        <w:t>《淄博市城市规划管理技术规定》；</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13.</w:t>
      </w:r>
      <w:r>
        <w:rPr>
          <w:rFonts w:hint="eastAsia" w:ascii="宋体" w:hAnsi="宋体" w:eastAsia="宋体" w:cs="宋体"/>
          <w:color w:val="auto"/>
          <w:kern w:val="0"/>
          <w:sz w:val="28"/>
          <w:szCs w:val="28"/>
          <w:lang w:val="en-US" w:eastAsia="zh-CN" w:bidi="ar"/>
        </w:rPr>
        <w:t>《淄博市城市总体规划（2011-2020年）》；</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14.</w:t>
      </w:r>
      <w:r>
        <w:rPr>
          <w:rFonts w:hint="eastAsia" w:ascii="宋体" w:hAnsi="宋体" w:eastAsia="宋体" w:cs="宋体"/>
          <w:color w:val="auto"/>
          <w:kern w:val="0"/>
          <w:sz w:val="28"/>
          <w:szCs w:val="28"/>
          <w:lang w:val="en-US" w:eastAsia="zh-CN" w:bidi="ar"/>
        </w:rPr>
        <w:t>《周村区土地利用总体规划（2006-2020年）》；</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hint="eastAsia" w:ascii="宋体" w:hAnsi="宋体" w:eastAsia="宋体" w:cs="宋体"/>
          <w:color w:val="auto"/>
          <w:sz w:val="28"/>
          <w:szCs w:val="28"/>
          <w:lang w:val="en-US" w:eastAsia="zh-CN"/>
        </w:rPr>
      </w:pPr>
      <w:r>
        <w:rPr>
          <w:rFonts w:hint="eastAsia" w:cs="宋体"/>
          <w:color w:val="auto"/>
          <w:kern w:val="0"/>
          <w:sz w:val="28"/>
          <w:szCs w:val="28"/>
          <w:lang w:val="en-US" w:eastAsia="zh-CN" w:bidi="ar"/>
        </w:rPr>
        <w:t>15.</w:t>
      </w:r>
      <w:r>
        <w:rPr>
          <w:rFonts w:hint="eastAsia" w:ascii="宋体" w:hAnsi="宋体" w:eastAsia="宋体" w:cs="宋体"/>
          <w:color w:val="auto"/>
          <w:kern w:val="0"/>
          <w:sz w:val="28"/>
          <w:szCs w:val="28"/>
          <w:lang w:val="en-US" w:eastAsia="zh-CN" w:bidi="ar"/>
        </w:rPr>
        <w:t>《淄博市周村区南郊镇总体规划（2018-2035年）》；</w:t>
      </w:r>
    </w:p>
    <w:p>
      <w:pPr>
        <w:pStyle w:val="8"/>
        <w:keepNext w:val="0"/>
        <w:keepLines w:val="0"/>
        <w:widowControl/>
        <w:numPr>
          <w:ilvl w:val="0"/>
          <w:numId w:val="0"/>
        </w:numPr>
        <w:suppressLineNumbers w:val="0"/>
        <w:spacing w:before="0" w:beforeAutospacing="0" w:after="0" w:afterAutospacing="0" w:line="360" w:lineRule="auto"/>
        <w:ind w:left="426" w:leftChars="0" w:right="0" w:rightChars="0"/>
        <w:jc w:val="left"/>
        <w:rPr>
          <w:rFonts w:ascii="宋体" w:hAnsi="宋体" w:cs="宋体"/>
          <w:color w:val="auto"/>
          <w:sz w:val="28"/>
          <w:szCs w:val="28"/>
          <w:lang w:eastAsia="zh-CN"/>
        </w:rPr>
      </w:pPr>
      <w:r>
        <w:rPr>
          <w:rFonts w:hint="eastAsia" w:cs="宋体"/>
          <w:color w:val="auto"/>
          <w:kern w:val="0"/>
          <w:sz w:val="28"/>
          <w:szCs w:val="28"/>
          <w:lang w:val="en-US" w:eastAsia="zh-CN" w:bidi="ar"/>
        </w:rPr>
        <w:t>16.</w:t>
      </w:r>
      <w:r>
        <w:rPr>
          <w:rFonts w:hint="eastAsia" w:ascii="宋体" w:hAnsi="宋体" w:eastAsia="宋体" w:cs="宋体"/>
          <w:color w:val="auto"/>
          <w:kern w:val="0"/>
          <w:sz w:val="28"/>
          <w:szCs w:val="28"/>
          <w:lang w:val="en-US" w:eastAsia="zh-CN" w:bidi="ar"/>
        </w:rPr>
        <w:t>相关法律、法规、技术规范。</w:t>
      </w:r>
    </w:p>
    <w:p>
      <w:pPr>
        <w:pStyle w:val="5"/>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三、规划内容</w:t>
      </w:r>
    </w:p>
    <w:p>
      <w:pPr>
        <w:spacing w:line="360" w:lineRule="auto"/>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规划用地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规划总用地面积</w:t>
      </w:r>
      <w:r>
        <w:rPr>
          <w:rFonts w:hint="eastAsia" w:ascii="宋体" w:hAnsi="宋体" w:eastAsia="宋体" w:cs="宋体"/>
          <w:sz w:val="28"/>
          <w:szCs w:val="28"/>
          <w:lang w:val="en-US" w:eastAsia="zh-CN"/>
        </w:rPr>
        <w:t>112.77</w:t>
      </w:r>
      <w:r>
        <w:rPr>
          <w:rFonts w:hint="eastAsia" w:ascii="宋体" w:hAnsi="宋体" w:eastAsia="宋体" w:cs="宋体"/>
          <w:sz w:val="28"/>
          <w:szCs w:val="28"/>
        </w:rPr>
        <w:t>公顷，其中城市建设用地</w:t>
      </w:r>
      <w:r>
        <w:rPr>
          <w:rFonts w:hint="eastAsia" w:ascii="宋体" w:hAnsi="宋体" w:eastAsia="宋体" w:cs="宋体"/>
          <w:sz w:val="28"/>
          <w:szCs w:val="28"/>
          <w:lang w:val="en-US" w:eastAsia="zh-CN"/>
        </w:rPr>
        <w:t>86.66</w:t>
      </w:r>
      <w:r>
        <w:rPr>
          <w:rFonts w:hint="eastAsia" w:ascii="宋体" w:hAnsi="宋体" w:eastAsia="宋体" w:cs="宋体"/>
          <w:sz w:val="28"/>
          <w:szCs w:val="28"/>
        </w:rPr>
        <w:t>公顷、</w:t>
      </w:r>
      <w:r>
        <w:rPr>
          <w:rFonts w:hint="eastAsia" w:ascii="宋体" w:hAnsi="宋体" w:eastAsia="宋体" w:cs="宋体"/>
          <w:sz w:val="28"/>
          <w:szCs w:val="28"/>
          <w:lang w:eastAsia="zh-CN"/>
        </w:rPr>
        <w:t>区域交通设施用地</w:t>
      </w:r>
      <w:r>
        <w:rPr>
          <w:rFonts w:hint="eastAsia" w:ascii="宋体" w:hAnsi="宋体" w:eastAsia="宋体" w:cs="宋体"/>
          <w:sz w:val="28"/>
          <w:szCs w:val="28"/>
          <w:lang w:val="en-US" w:eastAsia="zh-CN"/>
        </w:rPr>
        <w:t>4.65公顷、</w:t>
      </w:r>
      <w:r>
        <w:rPr>
          <w:rFonts w:hint="eastAsia" w:ascii="宋体" w:hAnsi="宋体" w:eastAsia="宋体" w:cs="宋体"/>
          <w:sz w:val="28"/>
          <w:szCs w:val="28"/>
        </w:rPr>
        <w:t>城市非建设用地</w:t>
      </w:r>
      <w:r>
        <w:rPr>
          <w:rFonts w:hint="eastAsia" w:ascii="宋体" w:hAnsi="宋体" w:eastAsia="宋体" w:cs="宋体"/>
          <w:sz w:val="28"/>
          <w:szCs w:val="28"/>
          <w:lang w:val="en-US" w:eastAsia="zh-CN"/>
        </w:rPr>
        <w:t>21.46</w:t>
      </w:r>
      <w:r>
        <w:rPr>
          <w:rFonts w:hint="eastAsia" w:ascii="宋体" w:hAnsi="宋体" w:eastAsia="宋体" w:cs="宋体"/>
          <w:sz w:val="28"/>
          <w:szCs w:val="28"/>
        </w:rPr>
        <w:t>公顷。</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城市建设用地包括：居住用地总面积</w:t>
      </w:r>
      <w:r>
        <w:rPr>
          <w:rFonts w:hint="eastAsia" w:ascii="宋体" w:hAnsi="宋体" w:eastAsia="宋体" w:cs="宋体"/>
          <w:sz w:val="28"/>
          <w:szCs w:val="28"/>
          <w:lang w:val="en-US" w:eastAsia="zh-CN"/>
        </w:rPr>
        <w:t>9.76</w:t>
      </w:r>
      <w:r>
        <w:rPr>
          <w:rFonts w:hint="eastAsia" w:ascii="宋体" w:hAnsi="宋体" w:eastAsia="宋体" w:cs="宋体"/>
          <w:sz w:val="28"/>
          <w:szCs w:val="28"/>
        </w:rPr>
        <w:t>公顷、</w:t>
      </w:r>
      <w:r>
        <w:rPr>
          <w:rFonts w:hint="eastAsia" w:ascii="宋体" w:hAnsi="宋体" w:eastAsia="宋体" w:cs="宋体"/>
          <w:sz w:val="28"/>
          <w:szCs w:val="28"/>
          <w:lang w:val="en-US" w:eastAsia="zh-CN"/>
        </w:rPr>
        <w:t>公共管理与公共服务设施用地</w:t>
      </w:r>
      <w:r>
        <w:rPr>
          <w:rFonts w:hint="eastAsia" w:ascii="宋体" w:hAnsi="宋体" w:eastAsia="宋体" w:cs="宋体"/>
          <w:sz w:val="28"/>
          <w:szCs w:val="28"/>
        </w:rPr>
        <w:t>总面积</w:t>
      </w:r>
      <w:r>
        <w:rPr>
          <w:rFonts w:hint="eastAsia" w:ascii="宋体" w:hAnsi="宋体" w:eastAsia="宋体" w:cs="宋体"/>
          <w:sz w:val="28"/>
          <w:szCs w:val="28"/>
          <w:lang w:val="en-US" w:eastAsia="zh-CN"/>
        </w:rPr>
        <w:t>0.01</w:t>
      </w:r>
      <w:r>
        <w:rPr>
          <w:rFonts w:hint="eastAsia" w:ascii="宋体" w:hAnsi="宋体" w:eastAsia="宋体" w:cs="宋体"/>
          <w:sz w:val="28"/>
          <w:szCs w:val="28"/>
        </w:rPr>
        <w:t>公顷</w:t>
      </w:r>
      <w:r>
        <w:rPr>
          <w:rFonts w:hint="eastAsia" w:ascii="宋体" w:hAnsi="宋体" w:eastAsia="宋体" w:cs="宋体"/>
          <w:sz w:val="28"/>
          <w:szCs w:val="28"/>
          <w:lang w:eastAsia="zh-CN"/>
        </w:rPr>
        <w:t>、</w:t>
      </w:r>
      <w:r>
        <w:rPr>
          <w:rFonts w:hint="eastAsia" w:ascii="宋体" w:hAnsi="宋体" w:eastAsia="宋体" w:cs="宋体"/>
          <w:sz w:val="28"/>
          <w:szCs w:val="28"/>
        </w:rPr>
        <w:t>商业服务业设施用地总面积</w:t>
      </w:r>
      <w:r>
        <w:rPr>
          <w:rFonts w:hint="eastAsia" w:ascii="宋体" w:hAnsi="宋体" w:eastAsia="宋体" w:cs="宋体"/>
          <w:sz w:val="28"/>
          <w:szCs w:val="28"/>
          <w:lang w:val="en-US" w:eastAsia="zh-CN"/>
        </w:rPr>
        <w:t>9.64</w:t>
      </w:r>
      <w:r>
        <w:rPr>
          <w:rFonts w:hint="eastAsia" w:ascii="宋体" w:hAnsi="宋体" w:eastAsia="宋体" w:cs="宋体"/>
          <w:sz w:val="28"/>
          <w:szCs w:val="28"/>
        </w:rPr>
        <w:t>公顷、道路与交通设施用地总面积</w:t>
      </w:r>
      <w:r>
        <w:rPr>
          <w:rFonts w:hint="eastAsia" w:ascii="宋体" w:hAnsi="宋体" w:eastAsia="宋体" w:cs="宋体"/>
          <w:sz w:val="28"/>
          <w:szCs w:val="28"/>
          <w:lang w:val="en-US" w:eastAsia="zh-CN"/>
        </w:rPr>
        <w:t>17.89</w:t>
      </w:r>
      <w:r>
        <w:rPr>
          <w:rFonts w:hint="eastAsia" w:ascii="宋体" w:hAnsi="宋体" w:eastAsia="宋体" w:cs="宋体"/>
          <w:sz w:val="28"/>
          <w:szCs w:val="28"/>
        </w:rPr>
        <w:t>公顷、工业用地总面积</w:t>
      </w:r>
      <w:r>
        <w:rPr>
          <w:rFonts w:hint="eastAsia" w:ascii="宋体" w:hAnsi="宋体" w:eastAsia="宋体" w:cs="宋体"/>
          <w:sz w:val="28"/>
          <w:szCs w:val="28"/>
          <w:lang w:val="en-US" w:eastAsia="zh-CN"/>
        </w:rPr>
        <w:t>40.30</w:t>
      </w:r>
      <w:r>
        <w:rPr>
          <w:rFonts w:hint="eastAsia" w:ascii="宋体" w:hAnsi="宋体" w:eastAsia="宋体" w:cs="宋体"/>
          <w:sz w:val="28"/>
          <w:szCs w:val="28"/>
        </w:rPr>
        <w:t>公顷、</w:t>
      </w:r>
      <w:r>
        <w:rPr>
          <w:rFonts w:hint="eastAsia" w:ascii="宋体" w:hAnsi="宋体" w:eastAsia="宋体" w:cs="宋体"/>
          <w:sz w:val="28"/>
          <w:szCs w:val="28"/>
          <w:lang w:val="en-US" w:eastAsia="zh-CN"/>
        </w:rPr>
        <w:t>公用设施用地</w:t>
      </w:r>
      <w:r>
        <w:rPr>
          <w:rFonts w:hint="eastAsia" w:ascii="宋体" w:hAnsi="宋体" w:eastAsia="宋体" w:cs="宋体"/>
          <w:sz w:val="28"/>
          <w:szCs w:val="28"/>
        </w:rPr>
        <w:t>总面积</w:t>
      </w:r>
      <w:r>
        <w:rPr>
          <w:rFonts w:hint="eastAsia" w:ascii="宋体" w:hAnsi="宋体" w:eastAsia="宋体" w:cs="宋体"/>
          <w:sz w:val="28"/>
          <w:szCs w:val="28"/>
          <w:lang w:val="en-US" w:eastAsia="zh-CN"/>
        </w:rPr>
        <w:t>1.02</w:t>
      </w:r>
      <w:r>
        <w:rPr>
          <w:rFonts w:hint="eastAsia" w:ascii="宋体" w:hAnsi="宋体" w:eastAsia="宋体" w:cs="宋体"/>
          <w:sz w:val="28"/>
          <w:szCs w:val="28"/>
        </w:rPr>
        <w:t>公顷、绿地与广场用地总面积</w:t>
      </w:r>
      <w:r>
        <w:rPr>
          <w:rFonts w:hint="eastAsia" w:ascii="宋体" w:hAnsi="宋体" w:eastAsia="宋体" w:cs="宋体"/>
          <w:sz w:val="28"/>
          <w:szCs w:val="28"/>
          <w:lang w:val="en-US" w:eastAsia="zh-CN"/>
        </w:rPr>
        <w:t>8.04</w:t>
      </w:r>
      <w:r>
        <w:rPr>
          <w:rFonts w:hint="eastAsia" w:ascii="宋体" w:hAnsi="宋体" w:eastAsia="宋体" w:cs="宋体"/>
          <w:sz w:val="28"/>
          <w:szCs w:val="28"/>
        </w:rPr>
        <w:t>公顷。</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2．公共服务设施配套</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规划范围内人口规模为</w:t>
      </w:r>
      <w:r>
        <w:rPr>
          <w:rFonts w:hint="eastAsia" w:ascii="宋体" w:hAnsi="宋体" w:eastAsia="宋体" w:cs="宋体"/>
          <w:sz w:val="28"/>
          <w:szCs w:val="28"/>
          <w:lang w:val="en-US" w:eastAsia="zh-CN"/>
        </w:rPr>
        <w:t>3150</w:t>
      </w:r>
      <w:r>
        <w:rPr>
          <w:rFonts w:hint="eastAsia" w:ascii="宋体" w:hAnsi="宋体" w:eastAsia="宋体" w:cs="宋体"/>
          <w:sz w:val="28"/>
          <w:szCs w:val="28"/>
        </w:rPr>
        <w:t>人，依据《城市居住区规划设计标准》（GB50180-2018），规划范围内规划公共服务设施主要为</w:t>
      </w:r>
      <w:r>
        <w:rPr>
          <w:rFonts w:hint="eastAsia" w:ascii="宋体" w:hAnsi="宋体" w:eastAsia="宋体" w:cs="宋体"/>
          <w:sz w:val="28"/>
          <w:szCs w:val="28"/>
          <w:lang w:eastAsia="zh-CN"/>
        </w:rPr>
        <w:t>居住</w:t>
      </w:r>
      <w:r>
        <w:rPr>
          <w:rFonts w:hint="eastAsia" w:ascii="宋体" w:hAnsi="宋体" w:eastAsia="宋体" w:cs="宋体"/>
          <w:sz w:val="28"/>
          <w:szCs w:val="28"/>
        </w:rPr>
        <w:t>街坊级公共服务设施。</w:t>
      </w:r>
      <w:r>
        <w:rPr>
          <w:rFonts w:hint="eastAsia" w:ascii="宋体" w:hAnsi="宋体" w:eastAsia="宋体" w:cs="宋体"/>
          <w:sz w:val="28"/>
          <w:szCs w:val="28"/>
          <w:lang w:eastAsia="zh-CN"/>
        </w:rPr>
        <w:t>居住街坊配套设施，包括物业管理与服务、儿童老年人活动场地、室外健身器械、便利店等</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规</w:t>
      </w:r>
      <w:r>
        <w:rPr>
          <w:rFonts w:hint="eastAsia" w:ascii="宋体" w:hAnsi="宋体" w:eastAsia="宋体" w:cs="宋体"/>
          <w:sz w:val="28"/>
          <w:szCs w:val="28"/>
          <w:lang w:eastAsia="zh-CN"/>
        </w:rPr>
        <w:t>划人口满</w:t>
      </w:r>
      <w:r>
        <w:rPr>
          <w:rFonts w:hint="eastAsia" w:ascii="宋体" w:hAnsi="宋体" w:eastAsia="宋体" w:cs="宋体"/>
          <w:sz w:val="28"/>
          <w:szCs w:val="28"/>
          <w:lang w:val="en-US" w:eastAsia="zh-CN"/>
        </w:rPr>
        <w:t>3000人，依据</w:t>
      </w:r>
      <w:r>
        <w:rPr>
          <w:rFonts w:hint="eastAsia" w:ascii="宋体" w:hAnsi="宋体" w:eastAsia="宋体" w:cs="宋体"/>
          <w:color w:val="auto"/>
          <w:kern w:val="0"/>
          <w:sz w:val="28"/>
          <w:szCs w:val="28"/>
          <w:lang w:val="en-US" w:eastAsia="zh-CN" w:bidi="ar"/>
        </w:rPr>
        <w:t>《山东省幼儿园基本办园条件标准》，</w:t>
      </w:r>
      <w:r>
        <w:rPr>
          <w:rFonts w:hint="eastAsia" w:ascii="宋体" w:hAnsi="宋体" w:eastAsia="宋体" w:cs="宋体"/>
          <w:sz w:val="28"/>
          <w:szCs w:val="28"/>
          <w:lang w:val="en-US" w:eastAsia="zh-CN"/>
        </w:rPr>
        <w:t>设6班幼儿园一所。</w:t>
      </w:r>
      <w:r>
        <w:rPr>
          <w:rFonts w:hint="eastAsia" w:ascii="宋体" w:hAnsi="宋体" w:eastAsia="宋体" w:cs="宋体"/>
          <w:sz w:val="28"/>
          <w:szCs w:val="28"/>
        </w:rPr>
        <w:t>周村区南郊镇</w:t>
      </w:r>
      <w:r>
        <w:rPr>
          <w:rFonts w:hint="eastAsia" w:ascii="宋体" w:hAnsi="宋体" w:eastAsia="宋体" w:cs="宋体"/>
          <w:sz w:val="28"/>
          <w:szCs w:val="28"/>
          <w:lang w:eastAsia="zh-CN"/>
        </w:rPr>
        <w:t>NJ02-01、NJ02-02街坊</w:t>
      </w:r>
      <w:r>
        <w:rPr>
          <w:rFonts w:hint="eastAsia" w:ascii="宋体" w:hAnsi="宋体" w:eastAsia="宋体" w:cs="宋体"/>
          <w:sz w:val="28"/>
          <w:szCs w:val="28"/>
          <w:lang w:val="en-US" w:eastAsia="zh-CN"/>
        </w:rPr>
        <w:t>周边现状配建的公共服务设施满足十五分钟生活圈及十分钟生活圈所必须配建的设施（邻近镇区，镇区设立小学、初中、卫生室、图书馆、敬老院等公服设施）</w:t>
      </w:r>
      <w:r>
        <w:rPr>
          <w:rFonts w:hint="eastAsia" w:ascii="宋体" w:hAnsi="宋体" w:eastAsia="宋体" w:cs="宋体"/>
          <w:sz w:val="28"/>
          <w:szCs w:val="28"/>
        </w:rPr>
        <w:t>，能够满足使用需求</w:t>
      </w:r>
      <w:r>
        <w:rPr>
          <w:rFonts w:hint="eastAsia" w:ascii="宋体" w:hAnsi="宋体" w:eastAsia="宋体" w:cs="宋体"/>
          <w:sz w:val="28"/>
          <w:szCs w:val="28"/>
          <w:lang w:eastAsia="zh-CN"/>
        </w:rPr>
        <w:t>，不再单独配建</w:t>
      </w:r>
      <w:r>
        <w:rPr>
          <w:rFonts w:hint="eastAsia" w:ascii="宋体" w:hAnsi="宋体" w:eastAsia="宋体" w:cs="宋体"/>
          <w:sz w:val="28"/>
          <w:szCs w:val="28"/>
        </w:rPr>
        <w:t>。</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eastAsia="zh-CN"/>
        </w:rPr>
        <w:t>居住</w:t>
      </w:r>
      <w:r>
        <w:rPr>
          <w:rFonts w:hint="eastAsia" w:ascii="宋体" w:hAnsi="宋体" w:eastAsia="宋体" w:cs="宋体"/>
          <w:sz w:val="28"/>
          <w:szCs w:val="28"/>
        </w:rPr>
        <w:t>街坊级公共服务设施图则中进行落实，实际建设过程中可调整</w:t>
      </w:r>
      <w:r>
        <w:rPr>
          <w:rFonts w:hint="eastAsia" w:ascii="宋体" w:hAnsi="宋体" w:eastAsia="宋体" w:cs="宋体"/>
          <w:sz w:val="28"/>
          <w:szCs w:val="28"/>
          <w:lang w:eastAsia="zh-CN"/>
        </w:rPr>
        <w:t>其</w:t>
      </w:r>
      <w:r>
        <w:rPr>
          <w:rFonts w:hint="eastAsia" w:ascii="宋体" w:hAnsi="宋体" w:eastAsia="宋体" w:cs="宋体"/>
          <w:sz w:val="28"/>
          <w:szCs w:val="28"/>
        </w:rPr>
        <w:t>位置，但应保证其规模不变。各类设施按相关规范要求配建。居民机动车停车场（库）、居民非机动停车场（库）配建应符合《城市停车规划规范》（GB/T51149-2016）、山东省《城市建设项目配建停车位规范》（鲁建标字[2010]26号）及淄博市《关于印发＜淄博市新建房地产项目公共服务配套设施规划配置和建设标准指导意见＞的通知》（淄建发〔2021﹞64号）等相关规定。</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w:t>
      </w:r>
      <w:r>
        <w:rPr>
          <w:rFonts w:ascii="宋体" w:hAnsi="宋体" w:eastAsia="宋体" w:cs="宋体"/>
          <w:sz w:val="28"/>
          <w:szCs w:val="28"/>
        </w:rPr>
        <w:t>.</w:t>
      </w:r>
      <w:r>
        <w:rPr>
          <w:rFonts w:hint="eastAsia" w:ascii="宋体" w:hAnsi="宋体" w:eastAsia="宋体" w:cs="宋体"/>
          <w:sz w:val="28"/>
          <w:szCs w:val="28"/>
        </w:rPr>
        <w:t>公共绿地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居住街坊内集中绿地不应低于0.5㎡/人，宽度不应小于8m，在标准的建筑日照阴影线范围之外的绿地面积不应小于1/3，其中应设置老年人、儿童活动场地。</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4</w:t>
      </w:r>
      <w:r>
        <w:rPr>
          <w:rFonts w:ascii="宋体" w:hAnsi="宋体" w:eastAsia="宋体" w:cs="宋体"/>
          <w:sz w:val="28"/>
          <w:szCs w:val="28"/>
        </w:rPr>
        <w:t>.</w:t>
      </w:r>
      <w:r>
        <w:rPr>
          <w:rFonts w:hint="eastAsia" w:ascii="宋体" w:hAnsi="宋体" w:eastAsia="宋体" w:cs="宋体"/>
          <w:sz w:val="28"/>
          <w:szCs w:val="28"/>
        </w:rPr>
        <w:t>控制指标</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根据《城市居住区规划设计标准》（GB50180—2018）、《山东省建设用地控制标准》（2019年），居住用地容积率控制在</w:t>
      </w:r>
      <w:r>
        <w:rPr>
          <w:rFonts w:hint="eastAsia" w:ascii="宋体" w:hAnsi="宋体" w:eastAsia="宋体" w:cs="宋体"/>
          <w:sz w:val="28"/>
          <w:szCs w:val="28"/>
          <w:lang w:val="en-US" w:eastAsia="zh-CN"/>
        </w:rPr>
        <w:t>1.5</w:t>
      </w:r>
      <w:r>
        <w:rPr>
          <w:rFonts w:hint="eastAsia" w:ascii="宋体" w:hAnsi="宋体" w:eastAsia="宋体" w:cs="宋体"/>
          <w:sz w:val="28"/>
          <w:szCs w:val="28"/>
        </w:rPr>
        <w:t>以下，建筑密度不高于</w:t>
      </w:r>
      <w:r>
        <w:rPr>
          <w:rFonts w:hint="eastAsia" w:ascii="宋体" w:hAnsi="宋体" w:eastAsia="宋体" w:cs="宋体"/>
          <w:sz w:val="28"/>
          <w:szCs w:val="28"/>
          <w:lang w:val="en-US" w:eastAsia="zh-CN"/>
        </w:rPr>
        <w:t>30</w:t>
      </w:r>
      <w:r>
        <w:rPr>
          <w:rFonts w:hint="eastAsia" w:ascii="宋体" w:hAnsi="宋体" w:eastAsia="宋体" w:cs="宋体"/>
          <w:sz w:val="28"/>
          <w:szCs w:val="28"/>
        </w:rPr>
        <w:t>%，绿地率不低于3</w:t>
      </w:r>
      <w:r>
        <w:rPr>
          <w:rFonts w:hint="eastAsia" w:ascii="宋体" w:hAnsi="宋体" w:eastAsia="宋体" w:cs="宋体"/>
          <w:sz w:val="28"/>
          <w:szCs w:val="28"/>
          <w:lang w:val="en-US" w:eastAsia="zh-CN"/>
        </w:rPr>
        <w:t>0</w:t>
      </w:r>
      <w:r>
        <w:rPr>
          <w:rFonts w:hint="eastAsia" w:ascii="宋体" w:hAnsi="宋体" w:eastAsia="宋体" w:cs="宋体"/>
          <w:sz w:val="28"/>
          <w:szCs w:val="28"/>
        </w:rPr>
        <w:t>%</w:t>
      </w:r>
      <w:r>
        <w:rPr>
          <w:rFonts w:hint="eastAsia" w:ascii="宋体" w:hAnsi="宋体" w:eastAsia="宋体" w:cs="宋体"/>
          <w:sz w:val="28"/>
          <w:szCs w:val="28"/>
          <w:lang w:eastAsia="zh-CN"/>
        </w:rPr>
        <w:t>，建筑高度不高于</w:t>
      </w:r>
      <w:r>
        <w:rPr>
          <w:rFonts w:hint="eastAsia" w:ascii="宋体" w:hAnsi="宋体" w:eastAsia="宋体" w:cs="宋体"/>
          <w:sz w:val="28"/>
          <w:szCs w:val="28"/>
          <w:lang w:val="en-US" w:eastAsia="zh-CN"/>
        </w:rPr>
        <w:t>90m（绝对高程）</w:t>
      </w:r>
      <w:r>
        <w:rPr>
          <w:rFonts w:hint="eastAsia" w:ascii="宋体" w:hAnsi="宋体" w:eastAsia="宋体" w:cs="宋体"/>
          <w:sz w:val="28"/>
          <w:szCs w:val="28"/>
        </w:rPr>
        <w:t>；商业用地容积率不高于</w:t>
      </w:r>
      <w:r>
        <w:rPr>
          <w:rFonts w:ascii="宋体" w:hAnsi="宋体" w:eastAsia="宋体" w:cs="宋体"/>
          <w:sz w:val="28"/>
          <w:szCs w:val="28"/>
        </w:rPr>
        <w:t>2.</w:t>
      </w:r>
      <w:r>
        <w:rPr>
          <w:rFonts w:hint="eastAsia" w:ascii="宋体" w:hAnsi="宋体" w:eastAsia="宋体" w:cs="宋体"/>
          <w:sz w:val="28"/>
          <w:szCs w:val="28"/>
          <w:lang w:val="en-US" w:eastAsia="zh-CN"/>
        </w:rPr>
        <w:t>4</w:t>
      </w:r>
      <w:r>
        <w:rPr>
          <w:rFonts w:hint="eastAsia" w:ascii="宋体" w:hAnsi="宋体" w:eastAsia="宋体" w:cs="宋体"/>
          <w:sz w:val="28"/>
          <w:szCs w:val="28"/>
        </w:rPr>
        <w:t>，建筑密度不高于4</w:t>
      </w:r>
      <w:r>
        <w:rPr>
          <w:rFonts w:ascii="宋体" w:hAnsi="宋体" w:eastAsia="宋体" w:cs="宋体"/>
          <w:sz w:val="28"/>
          <w:szCs w:val="28"/>
        </w:rPr>
        <w:t>0</w:t>
      </w:r>
      <w:r>
        <w:rPr>
          <w:rFonts w:hint="eastAsia" w:ascii="宋体" w:hAnsi="宋体" w:eastAsia="宋体" w:cs="宋体"/>
          <w:sz w:val="28"/>
          <w:szCs w:val="28"/>
        </w:rPr>
        <w:t>%，绿地率不低于</w:t>
      </w:r>
      <w:r>
        <w:rPr>
          <w:rFonts w:ascii="宋体" w:hAnsi="宋体" w:eastAsia="宋体" w:cs="宋体"/>
          <w:sz w:val="28"/>
          <w:szCs w:val="28"/>
        </w:rPr>
        <w:t>25</w:t>
      </w:r>
      <w:r>
        <w:rPr>
          <w:rFonts w:hint="eastAsia" w:ascii="宋体" w:hAnsi="宋体" w:eastAsia="宋体" w:cs="宋体"/>
          <w:sz w:val="28"/>
          <w:szCs w:val="28"/>
        </w:rPr>
        <w:t>%</w:t>
      </w:r>
      <w:r>
        <w:rPr>
          <w:rFonts w:hint="eastAsia" w:ascii="宋体" w:hAnsi="宋体" w:eastAsia="宋体" w:cs="宋体"/>
          <w:sz w:val="28"/>
          <w:szCs w:val="28"/>
          <w:lang w:eastAsia="zh-CN"/>
        </w:rPr>
        <w:t>，建筑高度结合校航机场的机场净空限高要求，分别不高于</w:t>
      </w:r>
      <w:r>
        <w:rPr>
          <w:rFonts w:hint="eastAsia" w:ascii="宋体" w:hAnsi="宋体" w:eastAsia="宋体" w:cs="宋体"/>
          <w:sz w:val="28"/>
          <w:szCs w:val="28"/>
          <w:lang w:val="en-US" w:eastAsia="zh-CN"/>
        </w:rPr>
        <w:t>64m、73m、81m、90m（绝对高程）</w:t>
      </w:r>
      <w:r>
        <w:rPr>
          <w:rFonts w:hint="eastAsia" w:ascii="宋体" w:hAnsi="宋体" w:eastAsia="宋体" w:cs="宋体"/>
          <w:sz w:val="28"/>
          <w:szCs w:val="28"/>
        </w:rPr>
        <w:t>；</w:t>
      </w:r>
      <w:r>
        <w:rPr>
          <w:rFonts w:hint="eastAsia" w:ascii="宋体" w:hAnsi="宋体" w:eastAsia="宋体" w:cs="宋体"/>
          <w:sz w:val="28"/>
          <w:szCs w:val="28"/>
          <w:lang w:eastAsia="zh-CN"/>
        </w:rPr>
        <w:t>加油加气站</w:t>
      </w:r>
      <w:r>
        <w:rPr>
          <w:rFonts w:hint="eastAsia" w:ascii="宋体" w:hAnsi="宋体" w:eastAsia="宋体" w:cs="宋体"/>
          <w:sz w:val="28"/>
          <w:szCs w:val="28"/>
        </w:rPr>
        <w:t>用地容积率控制在</w:t>
      </w:r>
      <w:r>
        <w:rPr>
          <w:rFonts w:hint="eastAsia" w:ascii="宋体" w:hAnsi="宋体" w:eastAsia="宋体" w:cs="宋体"/>
          <w:sz w:val="28"/>
          <w:szCs w:val="28"/>
          <w:lang w:eastAsia="zh-CN"/>
        </w:rPr>
        <w:t>不高于</w:t>
      </w:r>
      <w:r>
        <w:rPr>
          <w:rFonts w:hint="eastAsia" w:ascii="宋体" w:hAnsi="宋体" w:eastAsia="宋体" w:cs="宋体"/>
          <w:sz w:val="28"/>
          <w:szCs w:val="28"/>
          <w:lang w:val="en-US" w:eastAsia="zh-CN"/>
        </w:rPr>
        <w:t>1.0，</w:t>
      </w:r>
      <w:r>
        <w:rPr>
          <w:rFonts w:hint="eastAsia" w:ascii="宋体" w:hAnsi="宋体" w:eastAsia="宋体" w:cs="宋体"/>
          <w:sz w:val="28"/>
          <w:szCs w:val="28"/>
        </w:rPr>
        <w:t>建筑密度不高于4</w:t>
      </w:r>
      <w:r>
        <w:rPr>
          <w:rFonts w:ascii="宋体" w:hAnsi="宋体" w:eastAsia="宋体" w:cs="宋体"/>
          <w:sz w:val="28"/>
          <w:szCs w:val="28"/>
        </w:rPr>
        <w:t>0</w:t>
      </w:r>
      <w:r>
        <w:rPr>
          <w:rFonts w:hint="eastAsia" w:ascii="宋体" w:hAnsi="宋体" w:eastAsia="宋体" w:cs="宋体"/>
          <w:sz w:val="28"/>
          <w:szCs w:val="28"/>
        </w:rPr>
        <w:t>%，绿地率不低于</w:t>
      </w:r>
      <w:r>
        <w:rPr>
          <w:rFonts w:hint="eastAsia" w:ascii="宋体" w:hAnsi="宋体" w:eastAsia="宋体" w:cs="宋体"/>
          <w:sz w:val="28"/>
          <w:szCs w:val="28"/>
          <w:lang w:val="en-US" w:eastAsia="zh-CN"/>
        </w:rPr>
        <w:t>1</w:t>
      </w:r>
      <w:r>
        <w:rPr>
          <w:rFonts w:ascii="宋体" w:hAnsi="宋体" w:eastAsia="宋体" w:cs="宋体"/>
          <w:sz w:val="28"/>
          <w:szCs w:val="28"/>
        </w:rPr>
        <w:t>5</w:t>
      </w:r>
      <w:r>
        <w:rPr>
          <w:rFonts w:hint="eastAsia" w:ascii="宋体" w:hAnsi="宋体" w:eastAsia="宋体" w:cs="宋体"/>
          <w:sz w:val="28"/>
          <w:szCs w:val="28"/>
        </w:rPr>
        <w:t>%</w:t>
      </w:r>
      <w:r>
        <w:rPr>
          <w:rFonts w:hint="eastAsia" w:ascii="宋体" w:hAnsi="宋体" w:eastAsia="宋体" w:cs="宋体"/>
          <w:sz w:val="28"/>
          <w:szCs w:val="28"/>
          <w:lang w:eastAsia="zh-CN"/>
        </w:rPr>
        <w:t>，建筑高度不高于</w:t>
      </w:r>
      <w:r>
        <w:rPr>
          <w:rFonts w:hint="eastAsia" w:ascii="宋体" w:hAnsi="宋体" w:eastAsia="宋体" w:cs="宋体"/>
          <w:sz w:val="28"/>
          <w:szCs w:val="28"/>
          <w:lang w:val="en-US" w:eastAsia="zh-CN"/>
        </w:rPr>
        <w:t>84m（绝对高程）</w:t>
      </w:r>
      <w:r>
        <w:rPr>
          <w:rFonts w:hint="eastAsia" w:ascii="宋体" w:hAnsi="宋体" w:eastAsia="宋体" w:cs="宋体"/>
          <w:sz w:val="28"/>
          <w:szCs w:val="28"/>
          <w:lang w:eastAsia="zh-CN"/>
        </w:rPr>
        <w:t>；</w:t>
      </w:r>
      <w:r>
        <w:rPr>
          <w:rFonts w:hint="eastAsia" w:ascii="宋体" w:hAnsi="宋体" w:eastAsia="宋体" w:cs="宋体"/>
          <w:sz w:val="28"/>
          <w:szCs w:val="28"/>
        </w:rPr>
        <w:t>工业用地容积率不低于1.</w:t>
      </w:r>
      <w:r>
        <w:rPr>
          <w:rFonts w:hint="eastAsia" w:ascii="宋体" w:hAnsi="宋体" w:eastAsia="宋体" w:cs="宋体"/>
          <w:sz w:val="28"/>
          <w:szCs w:val="28"/>
          <w:lang w:val="en-US" w:eastAsia="zh-CN"/>
        </w:rPr>
        <w:t>2</w:t>
      </w:r>
      <w:r>
        <w:rPr>
          <w:rFonts w:hint="eastAsia" w:ascii="宋体" w:hAnsi="宋体" w:eastAsia="宋体" w:cs="宋体"/>
          <w:sz w:val="28"/>
          <w:szCs w:val="28"/>
        </w:rPr>
        <w:t>，建筑系数不低于40%，绿地率不高于</w:t>
      </w:r>
      <w:r>
        <w:rPr>
          <w:rFonts w:ascii="宋体" w:hAnsi="宋体" w:eastAsia="宋体" w:cs="宋体"/>
          <w:sz w:val="28"/>
          <w:szCs w:val="28"/>
        </w:rPr>
        <w:t>15</w:t>
      </w:r>
      <w:r>
        <w:rPr>
          <w:rFonts w:hint="eastAsia" w:ascii="宋体" w:hAnsi="宋体" w:eastAsia="宋体" w:cs="宋体"/>
          <w:sz w:val="28"/>
          <w:szCs w:val="28"/>
        </w:rPr>
        <w:t>%</w:t>
      </w:r>
      <w:r>
        <w:rPr>
          <w:rFonts w:hint="eastAsia" w:ascii="宋体" w:hAnsi="宋体" w:eastAsia="宋体" w:cs="宋体"/>
          <w:sz w:val="28"/>
          <w:szCs w:val="28"/>
          <w:lang w:eastAsia="zh-CN"/>
        </w:rPr>
        <w:t>，建筑高度不高于</w:t>
      </w:r>
      <w:r>
        <w:rPr>
          <w:rFonts w:hint="eastAsia" w:ascii="宋体" w:hAnsi="宋体" w:eastAsia="宋体" w:cs="宋体"/>
          <w:sz w:val="28"/>
          <w:szCs w:val="28"/>
          <w:lang w:val="en-US" w:eastAsia="zh-CN"/>
        </w:rPr>
        <w:t>90m（绝对高程）</w:t>
      </w:r>
      <w:r>
        <w:rPr>
          <w:rFonts w:hint="eastAsia" w:ascii="宋体" w:hAnsi="宋体" w:eastAsia="宋体" w:cs="宋体"/>
          <w:sz w:val="28"/>
          <w:szCs w:val="28"/>
          <w:lang w:eastAsia="zh-CN"/>
        </w:rPr>
        <w:t>。</w:t>
      </w:r>
    </w:p>
    <w:p>
      <w:pPr>
        <w:pStyle w:val="5"/>
        <w:rPr>
          <w:rFonts w:ascii="宋体" w:hAnsi="宋体" w:eastAsia="宋体" w:cs="宋体"/>
          <w:b/>
          <w:bCs/>
          <w:sz w:val="28"/>
          <w:szCs w:val="28"/>
        </w:rPr>
      </w:pPr>
      <w:r>
        <w:rPr>
          <w:rFonts w:hint="eastAsia" w:ascii="宋体" w:hAnsi="宋体" w:eastAsia="宋体" w:cs="宋体"/>
          <w:b/>
          <w:bCs/>
          <w:sz w:val="28"/>
          <w:szCs w:val="28"/>
        </w:rPr>
        <w:t>四、公示时间</w:t>
      </w:r>
    </w:p>
    <w:p>
      <w:pPr>
        <w:pStyle w:val="2"/>
        <w:spacing w:line="360" w:lineRule="auto"/>
        <w:ind w:firstLine="560" w:firstLineChars="200"/>
        <w:jc w:val="left"/>
        <w:rPr>
          <w:rFonts w:ascii="宋体" w:hAnsi="宋体" w:cs="宋体"/>
          <w:sz w:val="28"/>
          <w:szCs w:val="28"/>
        </w:rPr>
      </w:pPr>
      <w:r>
        <w:rPr>
          <w:rFonts w:hint="eastAsia" w:ascii="宋体" w:hAnsi="宋体" w:cs="宋体"/>
          <w:sz w:val="28"/>
          <w:szCs w:val="28"/>
        </w:rPr>
        <w:t>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21</w:t>
      </w:r>
      <w:r>
        <w:rPr>
          <w:rFonts w:hint="eastAsia" w:ascii="宋体" w:hAnsi="宋体" w:cs="宋体"/>
          <w:sz w:val="28"/>
          <w:szCs w:val="28"/>
        </w:rPr>
        <w:t>日-202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19</w:t>
      </w:r>
      <w:r>
        <w:rPr>
          <w:rFonts w:hint="eastAsia" w:ascii="宋体" w:hAnsi="宋体" w:cs="宋体"/>
          <w:sz w:val="28"/>
          <w:szCs w:val="28"/>
        </w:rPr>
        <w:t>日</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pStyle w:val="5"/>
        <w:rPr>
          <w:rFonts w:ascii="宋体" w:hAnsi="宋体" w:eastAsia="宋体" w:cs="宋体"/>
          <w:b/>
          <w:bCs/>
          <w:sz w:val="28"/>
          <w:szCs w:val="28"/>
        </w:rPr>
      </w:pPr>
      <w:r>
        <w:rPr>
          <w:rFonts w:hint="eastAsia" w:ascii="宋体" w:hAnsi="宋体" w:eastAsia="宋体" w:cs="宋体"/>
          <w:b/>
          <w:bCs/>
          <w:sz w:val="28"/>
          <w:szCs w:val="28"/>
        </w:rPr>
        <w:t>五、联系方式</w:t>
      </w:r>
    </w:p>
    <w:p>
      <w:pPr>
        <w:pStyle w:val="2"/>
        <w:spacing w:line="360" w:lineRule="auto"/>
        <w:ind w:firstLine="560" w:firstLineChars="200"/>
        <w:jc w:val="left"/>
        <w:rPr>
          <w:rFonts w:ascii="宋体" w:hAnsi="宋体" w:cs="宋体"/>
          <w:sz w:val="28"/>
          <w:szCs w:val="28"/>
        </w:rPr>
      </w:pPr>
      <w:r>
        <w:rPr>
          <w:rFonts w:hint="eastAsia" w:ascii="宋体" w:hAnsi="宋体" w:cs="宋体"/>
          <w:sz w:val="28"/>
          <w:szCs w:val="28"/>
        </w:rPr>
        <w:t xml:space="preserve">0533-6060032  </w:t>
      </w:r>
      <w:r>
        <w:rPr>
          <w:rFonts w:hint="eastAsia" w:ascii="宋体" w:hAnsi="宋体" w:cs="宋体"/>
          <w:sz w:val="28"/>
          <w:szCs w:val="28"/>
          <w:lang w:eastAsia="zh-CN"/>
        </w:rPr>
        <w:t>南郊</w:t>
      </w:r>
      <w:r>
        <w:rPr>
          <w:rFonts w:hint="eastAsia" w:ascii="宋体" w:hAnsi="宋体" w:cs="宋体"/>
          <w:sz w:val="28"/>
          <w:szCs w:val="28"/>
        </w:rPr>
        <w:t>镇人民政府</w:t>
      </w:r>
    </w:p>
    <w:p>
      <w:pPr>
        <w:pStyle w:val="2"/>
        <w:spacing w:line="360" w:lineRule="auto"/>
        <w:ind w:firstLine="560" w:firstLineChars="200"/>
        <w:jc w:val="left"/>
        <w:rPr>
          <w:rFonts w:hint="eastAsia" w:ascii="宋体" w:hAnsi="宋体" w:eastAsia="宋体" w:cs="宋体"/>
          <w:sz w:val="28"/>
          <w:szCs w:val="28"/>
          <w:lang w:eastAsia="zh-CN"/>
        </w:rPr>
      </w:pPr>
      <w:r>
        <w:rPr>
          <w:rFonts w:hint="eastAsia" w:ascii="宋体" w:hAnsi="宋体" w:cs="宋体"/>
          <w:sz w:val="28"/>
          <w:szCs w:val="28"/>
        </w:rPr>
        <w:t>0533-64200</w:t>
      </w:r>
      <w:r>
        <w:rPr>
          <w:rFonts w:hint="eastAsia" w:ascii="宋体" w:hAnsi="宋体" w:cs="宋体"/>
          <w:sz w:val="28"/>
          <w:szCs w:val="28"/>
          <w:lang w:val="en-US" w:eastAsia="zh-CN"/>
        </w:rPr>
        <w:t>33</w:t>
      </w:r>
      <w:r>
        <w:rPr>
          <w:rFonts w:hint="eastAsia" w:ascii="宋体" w:hAnsi="宋体" w:cs="宋体"/>
          <w:sz w:val="28"/>
          <w:szCs w:val="28"/>
        </w:rPr>
        <w:t xml:space="preserve">  </w:t>
      </w:r>
      <w:r>
        <w:rPr>
          <w:rFonts w:hint="eastAsia" w:ascii="宋体" w:hAnsi="宋体" w:cs="宋体"/>
          <w:sz w:val="28"/>
          <w:szCs w:val="28"/>
          <w:lang w:eastAsia="zh-CN"/>
        </w:rPr>
        <w:t>周村规划管理办公室</w:t>
      </w:r>
    </w:p>
    <w:p/>
    <w:p>
      <w:pPr>
        <w:pStyle w:val="2"/>
      </w:pPr>
    </w:p>
    <w:p/>
    <w:p>
      <w:pPr>
        <w:pStyle w:val="2"/>
        <w:sectPr>
          <w:pgSz w:w="11906" w:h="16838"/>
          <w:pgMar w:top="1440" w:right="1800" w:bottom="1440" w:left="1800" w:header="851" w:footer="992" w:gutter="0"/>
          <w:cols w:space="425" w:num="1"/>
          <w:docGrid w:type="lines" w:linePitch="312" w:charSpace="0"/>
        </w:sectPr>
      </w:pPr>
      <w:bookmarkStart w:id="0" w:name="_GoBack"/>
      <w:bookmarkEnd w:id="0"/>
    </w:p>
    <w:p>
      <w:pPr>
        <w:jc w:val="center"/>
        <w:rPr>
          <w:rFonts w:hint="eastAsia" w:eastAsiaTheme="minorEastAsia"/>
          <w:lang w:eastAsia="zh-CN"/>
        </w:rPr>
      </w:pPr>
      <w:r>
        <w:rPr>
          <w:rFonts w:hint="eastAsia" w:eastAsiaTheme="minorEastAsia"/>
          <w:lang w:eastAsia="zh-CN"/>
        </w:rPr>
        <w:drawing>
          <wp:inline distT="0" distB="0" distL="114300" distR="114300">
            <wp:extent cx="9385300" cy="6630035"/>
            <wp:effectExtent l="0" t="0" r="6350" b="18415"/>
            <wp:docPr id="1" name="图片 1" descr="01区位分析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区位分析图"/>
                    <pic:cNvPicPr>
                      <a:picLocks noChangeAspect="1"/>
                    </pic:cNvPicPr>
                  </pic:nvPicPr>
                  <pic:blipFill>
                    <a:blip r:embed="rId4"/>
                    <a:stretch>
                      <a:fillRect/>
                    </a:stretch>
                  </pic:blipFill>
                  <pic:spPr>
                    <a:xfrm>
                      <a:off x="0" y="0"/>
                      <a:ext cx="9385300" cy="6630035"/>
                    </a:xfrm>
                    <a:prstGeom prst="rect">
                      <a:avLst/>
                    </a:prstGeom>
                  </pic:spPr>
                </pic:pic>
              </a:graphicData>
            </a:graphic>
          </wp:inline>
        </w:drawing>
      </w:r>
    </w:p>
    <w:p>
      <w:pPr>
        <w:jc w:val="center"/>
        <w:rPr>
          <w:rFonts w:hint="eastAsia" w:eastAsiaTheme="minorEastAsia"/>
          <w:lang w:eastAsia="zh-CN"/>
        </w:rPr>
      </w:pPr>
      <w:r>
        <w:rPr>
          <w:rFonts w:hint="eastAsia" w:eastAsiaTheme="minorEastAsia"/>
          <w:lang w:eastAsia="zh-CN"/>
        </w:rPr>
        <w:drawing>
          <wp:inline distT="0" distB="0" distL="114300" distR="114300">
            <wp:extent cx="9385300" cy="6630035"/>
            <wp:effectExtent l="0" t="0" r="6350" b="18415"/>
            <wp:docPr id="4" name="图片 4" descr="17控制图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控制图则"/>
                    <pic:cNvPicPr>
                      <a:picLocks noChangeAspect="1"/>
                    </pic:cNvPicPr>
                  </pic:nvPicPr>
                  <pic:blipFill>
                    <a:blip r:embed="rId5"/>
                    <a:stretch>
                      <a:fillRect/>
                    </a:stretch>
                  </pic:blipFill>
                  <pic:spPr>
                    <a:xfrm>
                      <a:off x="0" y="0"/>
                      <a:ext cx="9385300" cy="6630035"/>
                    </a:xfrm>
                    <a:prstGeom prst="rect">
                      <a:avLst/>
                    </a:prstGeom>
                  </pic:spPr>
                </pic:pic>
              </a:graphicData>
            </a:graphic>
          </wp:inline>
        </w:drawing>
      </w:r>
    </w:p>
    <w:p>
      <w:r>
        <w:rPr>
          <w:rFonts w:hint="eastAsia" w:eastAsiaTheme="minorEastAsia"/>
          <w:lang w:eastAsia="zh-CN"/>
        </w:rPr>
        <w:drawing>
          <wp:inline distT="0" distB="0" distL="114300" distR="114300">
            <wp:extent cx="9385300" cy="6630035"/>
            <wp:effectExtent l="0" t="0" r="6350" b="18415"/>
            <wp:docPr id="3" name="图片 3" descr="13道路交通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道路交通规划图"/>
                    <pic:cNvPicPr>
                      <a:picLocks noChangeAspect="1"/>
                    </pic:cNvPicPr>
                  </pic:nvPicPr>
                  <pic:blipFill>
                    <a:blip r:embed="rId6"/>
                    <a:stretch>
                      <a:fillRect/>
                    </a:stretch>
                  </pic:blipFill>
                  <pic:spPr>
                    <a:xfrm>
                      <a:off x="0" y="0"/>
                      <a:ext cx="9385300" cy="6630035"/>
                    </a:xfrm>
                    <a:prstGeom prst="rect">
                      <a:avLst/>
                    </a:prstGeom>
                  </pic:spPr>
                </pic:pic>
              </a:graphicData>
            </a:graphic>
          </wp:inline>
        </w:drawing>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CFC14"/>
    <w:multiLevelType w:val="singleLevel"/>
    <w:tmpl w:val="8DECFC14"/>
    <w:lvl w:ilvl="0" w:tentative="0">
      <w:start w:val="1"/>
      <w:numFmt w:val="decimal"/>
      <w:pStyle w:val="4"/>
      <w:lvlText w:val="%1."/>
      <w:lvlJc w:val="left"/>
      <w:pPr>
        <w:ind w:left="425" w:hanging="425"/>
      </w:pPr>
      <w:rPr>
        <w:rFonts w:hint="default"/>
      </w:rPr>
    </w:lvl>
  </w:abstractNum>
  <w:abstractNum w:abstractNumId="1">
    <w:nsid w:val="A1F2D798"/>
    <w:multiLevelType w:val="singleLevel"/>
    <w:tmpl w:val="A1F2D798"/>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OTVkMDQ3ZmM4MDhiM2E2YWRkYTRhYTNmZmI0ZjQifQ=="/>
  </w:docVars>
  <w:rsids>
    <w:rsidRoot w:val="6EBA1324"/>
    <w:rsid w:val="00114475"/>
    <w:rsid w:val="0012534A"/>
    <w:rsid w:val="001C7E57"/>
    <w:rsid w:val="001D7DEA"/>
    <w:rsid w:val="00216E73"/>
    <w:rsid w:val="00276462"/>
    <w:rsid w:val="00314F44"/>
    <w:rsid w:val="0049240E"/>
    <w:rsid w:val="00526E9A"/>
    <w:rsid w:val="00683EC6"/>
    <w:rsid w:val="00743F24"/>
    <w:rsid w:val="007F4984"/>
    <w:rsid w:val="00862D85"/>
    <w:rsid w:val="009A4CB8"/>
    <w:rsid w:val="009D00F9"/>
    <w:rsid w:val="00A638AA"/>
    <w:rsid w:val="00A900AE"/>
    <w:rsid w:val="00AA61DF"/>
    <w:rsid w:val="00B175F6"/>
    <w:rsid w:val="00C152F2"/>
    <w:rsid w:val="00C95F71"/>
    <w:rsid w:val="00CC4470"/>
    <w:rsid w:val="00DF2C8E"/>
    <w:rsid w:val="00E85EBB"/>
    <w:rsid w:val="00E86A81"/>
    <w:rsid w:val="00FE58C9"/>
    <w:rsid w:val="01024029"/>
    <w:rsid w:val="01316EFF"/>
    <w:rsid w:val="022C43C1"/>
    <w:rsid w:val="032113DD"/>
    <w:rsid w:val="03D00F5B"/>
    <w:rsid w:val="03F83CCD"/>
    <w:rsid w:val="042711AF"/>
    <w:rsid w:val="0492290C"/>
    <w:rsid w:val="05B64EE1"/>
    <w:rsid w:val="062E2C9E"/>
    <w:rsid w:val="071772CA"/>
    <w:rsid w:val="095B3101"/>
    <w:rsid w:val="0A353262"/>
    <w:rsid w:val="0AA572D2"/>
    <w:rsid w:val="0D1120E9"/>
    <w:rsid w:val="0D7A3E16"/>
    <w:rsid w:val="0D7E1BB4"/>
    <w:rsid w:val="0DC100AB"/>
    <w:rsid w:val="0E8E2713"/>
    <w:rsid w:val="106D0D67"/>
    <w:rsid w:val="10844541"/>
    <w:rsid w:val="10B0565F"/>
    <w:rsid w:val="11DF664A"/>
    <w:rsid w:val="12E7518D"/>
    <w:rsid w:val="130B45D5"/>
    <w:rsid w:val="13C565D3"/>
    <w:rsid w:val="14617730"/>
    <w:rsid w:val="15816AE0"/>
    <w:rsid w:val="159A69CA"/>
    <w:rsid w:val="15AB47B7"/>
    <w:rsid w:val="165878EE"/>
    <w:rsid w:val="16A27000"/>
    <w:rsid w:val="185D4A18"/>
    <w:rsid w:val="1A060CB7"/>
    <w:rsid w:val="1B460CBD"/>
    <w:rsid w:val="1F7135BF"/>
    <w:rsid w:val="1FD7763D"/>
    <w:rsid w:val="202E3200"/>
    <w:rsid w:val="20D86778"/>
    <w:rsid w:val="211D59BC"/>
    <w:rsid w:val="213C339A"/>
    <w:rsid w:val="230F0E8A"/>
    <w:rsid w:val="23122B88"/>
    <w:rsid w:val="23975405"/>
    <w:rsid w:val="24092228"/>
    <w:rsid w:val="24181502"/>
    <w:rsid w:val="24FE7862"/>
    <w:rsid w:val="265A6E74"/>
    <w:rsid w:val="27624E6A"/>
    <w:rsid w:val="2A483C7D"/>
    <w:rsid w:val="2A944360"/>
    <w:rsid w:val="2B651643"/>
    <w:rsid w:val="2B6F71AF"/>
    <w:rsid w:val="2B97510E"/>
    <w:rsid w:val="2C230CF8"/>
    <w:rsid w:val="2C491D5B"/>
    <w:rsid w:val="2E4756C9"/>
    <w:rsid w:val="2F4D19E7"/>
    <w:rsid w:val="2F610C77"/>
    <w:rsid w:val="2FD94F23"/>
    <w:rsid w:val="30EE22D8"/>
    <w:rsid w:val="312E30E9"/>
    <w:rsid w:val="31811498"/>
    <w:rsid w:val="319269A6"/>
    <w:rsid w:val="31C82A92"/>
    <w:rsid w:val="328C6D05"/>
    <w:rsid w:val="34551184"/>
    <w:rsid w:val="347F27BE"/>
    <w:rsid w:val="34830D3F"/>
    <w:rsid w:val="34EC3E82"/>
    <w:rsid w:val="35AA386B"/>
    <w:rsid w:val="363946E4"/>
    <w:rsid w:val="368159C0"/>
    <w:rsid w:val="36901EDC"/>
    <w:rsid w:val="370C30BD"/>
    <w:rsid w:val="370F6488"/>
    <w:rsid w:val="38010D72"/>
    <w:rsid w:val="38474023"/>
    <w:rsid w:val="393B08C5"/>
    <w:rsid w:val="3A385B53"/>
    <w:rsid w:val="3C055175"/>
    <w:rsid w:val="3C2F7EAD"/>
    <w:rsid w:val="3C794420"/>
    <w:rsid w:val="3D7F3EBF"/>
    <w:rsid w:val="3DA434B1"/>
    <w:rsid w:val="40353A45"/>
    <w:rsid w:val="409603D1"/>
    <w:rsid w:val="41672AC3"/>
    <w:rsid w:val="41C4283D"/>
    <w:rsid w:val="42D133EE"/>
    <w:rsid w:val="45EF5DF9"/>
    <w:rsid w:val="46CF1925"/>
    <w:rsid w:val="46D51AFB"/>
    <w:rsid w:val="46ED5FF0"/>
    <w:rsid w:val="47A46E7D"/>
    <w:rsid w:val="47B304E2"/>
    <w:rsid w:val="487B0359"/>
    <w:rsid w:val="489D3EF9"/>
    <w:rsid w:val="494C7C96"/>
    <w:rsid w:val="49757810"/>
    <w:rsid w:val="49D60985"/>
    <w:rsid w:val="4A61476C"/>
    <w:rsid w:val="4AB54913"/>
    <w:rsid w:val="4B166E55"/>
    <w:rsid w:val="4B4F4307"/>
    <w:rsid w:val="4B845AA1"/>
    <w:rsid w:val="4D5A109E"/>
    <w:rsid w:val="4DD7428E"/>
    <w:rsid w:val="51F019FB"/>
    <w:rsid w:val="524F4467"/>
    <w:rsid w:val="53021CF6"/>
    <w:rsid w:val="538E7ED0"/>
    <w:rsid w:val="55AF7F1F"/>
    <w:rsid w:val="56D07C5B"/>
    <w:rsid w:val="58A04049"/>
    <w:rsid w:val="594843E3"/>
    <w:rsid w:val="5B777DE8"/>
    <w:rsid w:val="5E546E20"/>
    <w:rsid w:val="5EB02112"/>
    <w:rsid w:val="5EFB54FE"/>
    <w:rsid w:val="5FAB7702"/>
    <w:rsid w:val="62E021E9"/>
    <w:rsid w:val="63D21706"/>
    <w:rsid w:val="65AE64AA"/>
    <w:rsid w:val="66B80128"/>
    <w:rsid w:val="69947425"/>
    <w:rsid w:val="69AF50BE"/>
    <w:rsid w:val="69C364F9"/>
    <w:rsid w:val="6AA24659"/>
    <w:rsid w:val="6AB02A35"/>
    <w:rsid w:val="6AB96404"/>
    <w:rsid w:val="6AD1269D"/>
    <w:rsid w:val="6B2A1346"/>
    <w:rsid w:val="6B4960D1"/>
    <w:rsid w:val="6D7172E2"/>
    <w:rsid w:val="6DCD53F2"/>
    <w:rsid w:val="6E470F69"/>
    <w:rsid w:val="6E922B12"/>
    <w:rsid w:val="6EBA1324"/>
    <w:rsid w:val="6F7D3FD5"/>
    <w:rsid w:val="72B8558C"/>
    <w:rsid w:val="736570AB"/>
    <w:rsid w:val="73CF5C6F"/>
    <w:rsid w:val="73D94D40"/>
    <w:rsid w:val="745474FD"/>
    <w:rsid w:val="7477154A"/>
    <w:rsid w:val="75184066"/>
    <w:rsid w:val="7558311D"/>
    <w:rsid w:val="75E678D2"/>
    <w:rsid w:val="77851C32"/>
    <w:rsid w:val="778F1E3E"/>
    <w:rsid w:val="794458F5"/>
    <w:rsid w:val="7B0B2230"/>
    <w:rsid w:val="7B4C2104"/>
    <w:rsid w:val="7B7664D6"/>
    <w:rsid w:val="7D0A50E0"/>
    <w:rsid w:val="7D4E111F"/>
    <w:rsid w:val="7DD07D5F"/>
    <w:rsid w:val="7F6D7C09"/>
    <w:rsid w:val="7F732964"/>
    <w:rsid w:val="7FA426A6"/>
    <w:rsid w:val="7FE37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ind w:firstLine="723" w:firstLineChars="200"/>
      <w:outlineLvl w:val="0"/>
    </w:pPr>
    <w:rPr>
      <w:b/>
      <w:bCs/>
      <w:kern w:val="44"/>
      <w:sz w:val="28"/>
      <w:szCs w:val="44"/>
    </w:rPr>
  </w:style>
  <w:style w:type="paragraph" w:styleId="4">
    <w:name w:val="heading 2"/>
    <w:basedOn w:val="1"/>
    <w:next w:val="1"/>
    <w:qFormat/>
    <w:uiPriority w:val="0"/>
    <w:pPr>
      <w:keepNext/>
      <w:keepLines/>
      <w:numPr>
        <w:ilvl w:val="0"/>
        <w:numId w:val="2"/>
      </w:numPr>
      <w:spacing w:line="360" w:lineRule="auto"/>
      <w:ind w:left="0" w:firstLine="602" w:firstLineChars="200"/>
      <w:outlineLvl w:val="1"/>
    </w:pPr>
    <w:rPr>
      <w:rFonts w:ascii="Arial" w:hAnsi="Arial"/>
      <w:b/>
      <w:bC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line="300" w:lineRule="exact"/>
      <w:jc w:val="center"/>
    </w:pPr>
    <w:rPr>
      <w:rFonts w:eastAsia="宋体"/>
      <w:sz w:val="19"/>
    </w:rPr>
  </w:style>
  <w:style w:type="paragraph" w:styleId="5">
    <w:name w:val="annotation text"/>
    <w:basedOn w:val="1"/>
    <w:qFormat/>
    <w:uiPriority w:val="0"/>
    <w:pPr>
      <w:jc w:val="left"/>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pPr>
  </w:style>
  <w:style w:type="character" w:customStyle="1" w:styleId="13">
    <w:name w:val="页眉 字符"/>
    <w:basedOn w:val="11"/>
    <w:link w:val="7"/>
    <w:qFormat/>
    <w:uiPriority w:val="0"/>
    <w:rPr>
      <w:rFonts w:asciiTheme="minorHAnsi" w:hAnsiTheme="minorHAnsi" w:eastAsiaTheme="minorEastAsia" w:cstheme="minorBidi"/>
      <w:kern w:val="2"/>
      <w:sz w:val="18"/>
      <w:szCs w:val="18"/>
    </w:rPr>
  </w:style>
  <w:style w:type="character" w:customStyle="1" w:styleId="14">
    <w:name w:val="页脚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7800-7F78-4D53-841C-720808B445CF}">
  <ds:schemaRefs/>
</ds:datastoreItem>
</file>

<file path=docProps/app.xml><?xml version="1.0" encoding="utf-8"?>
<Properties xmlns="http://schemas.openxmlformats.org/officeDocument/2006/extended-properties" xmlns:vt="http://schemas.openxmlformats.org/officeDocument/2006/docPropsVTypes">
  <Template>Normal</Template>
  <Pages>7</Pages>
  <Words>1359</Words>
  <Characters>1658</Characters>
  <Lines>18</Lines>
  <Paragraphs>5</Paragraphs>
  <TotalTime>37</TotalTime>
  <ScaleCrop>false</ScaleCrop>
  <LinksUpToDate>false</LinksUpToDate>
  <CharactersWithSpaces>1662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2020-10-26T09:19:00Z</dcterms:created>
  <dc:creator>Eliauk</dc:creator>
  <cp:lastModifiedBy>Administrator</cp:lastModifiedBy>
  <dcterms:modified xsi:type="dcterms:W3CDTF">2022-10-21T09:02:25Z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EF0B88F9937C4D2CAC0ED0DFD72E8CD6</vt:lpwstr>
  </property>
</Properties>
</file>