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spacing w:line="520" w:lineRule="exact"/>
        <w:jc w:val="center"/>
        <w:rPr>
          <w:rFonts w:hint="eastAsia" w:eastAsia="仿宋_GB2312"/>
          <w:color w:val="000000"/>
          <w:sz w:val="48"/>
          <w:szCs w:val="48"/>
        </w:rPr>
      </w:pPr>
    </w:p>
    <w:p>
      <w:pPr>
        <w:spacing w:line="520" w:lineRule="exact"/>
        <w:jc w:val="center"/>
        <w:rPr>
          <w:rFonts w:hint="eastAsia" w:eastAsia="仿宋_GB2312"/>
          <w:color w:val="000000"/>
          <w:sz w:val="21"/>
          <w:szCs w:val="21"/>
        </w:rPr>
      </w:pPr>
    </w:p>
    <w:p>
      <w:pPr>
        <w:pStyle w:val="2"/>
        <w:rPr>
          <w:rFonts w:hint="eastAsia"/>
          <w:sz w:val="52"/>
          <w:szCs w:val="52"/>
        </w:rPr>
      </w:pPr>
    </w:p>
    <w:p>
      <w:pPr>
        <w:spacing w:line="539" w:lineRule="atLeast"/>
        <w:ind w:firstLine="320" w:firstLineChars="100"/>
        <w:rPr>
          <w:rFonts w:hint="eastAsia" w:ascii="楷体_GB2312" w:hAnsi="楷体_GB2312" w:eastAsia="楷体_GB2312" w:cs="楷体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周投促﹝202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</w:rPr>
        <w:t>﹞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</w:rPr>
        <w:t xml:space="preserve">号      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</w:rPr>
        <w:t xml:space="preserve"> 签发人：</w:t>
      </w:r>
      <w:r>
        <w:rPr>
          <w:rFonts w:hint="eastAsia" w:ascii="楷体_GB2312" w:hAnsi="楷体_GB2312" w:eastAsia="楷体_GB2312" w:cs="楷体_GB2312"/>
          <w:sz w:val="32"/>
          <w:lang w:eastAsia="zh-CN"/>
        </w:rPr>
        <w:t>王一川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 w:val="0"/>
          <w:bCs w:val="0"/>
          <w:sz w:val="21"/>
          <w:szCs w:val="21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/>
          <w:sz w:val="32"/>
          <w:szCs w:val="32"/>
          <w:lang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 xml:space="preserve">                        </w:t>
      </w:r>
      <w:r>
        <w:rPr>
          <w:rFonts w:hint="eastAsia" w:ascii="方正小标宋简体" w:hAnsi="Times New Roman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Times New Roman" w:eastAsia="方正小标宋简体"/>
          <w:sz w:val="32"/>
          <w:szCs w:val="32"/>
          <w:lang w:val="en-US" w:eastAsia="zh-CN"/>
        </w:rPr>
        <w:t>A类</w:t>
      </w:r>
      <w:r>
        <w:rPr>
          <w:rFonts w:hint="eastAsia" w:ascii="方正小标宋简体" w:hAnsi="Times New Roman" w:eastAsia="方正小标宋简体"/>
          <w:sz w:val="32"/>
          <w:szCs w:val="32"/>
          <w:lang w:eastAsia="zh-CN"/>
        </w:rPr>
        <w:t>）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对区政协十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Times New Roman" w:eastAsia="方正小标宋简体"/>
          <w:sz w:val="44"/>
          <w:szCs w:val="44"/>
        </w:rPr>
        <w:t>届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Times New Roman" w:eastAsia="方正小标宋简体"/>
          <w:sz w:val="44"/>
          <w:szCs w:val="44"/>
        </w:rPr>
        <w:t>次会议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第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142136</w:t>
      </w:r>
      <w:r>
        <w:rPr>
          <w:rFonts w:hint="eastAsia" w:ascii="方正小标宋简体" w:hAnsi="Times New Roman" w:eastAsia="方正小标宋简体"/>
          <w:sz w:val="44"/>
          <w:szCs w:val="44"/>
        </w:rPr>
        <w:t>号提案的答复</w:t>
      </w:r>
    </w:p>
    <w:p>
      <w:pPr>
        <w:spacing w:line="560" w:lineRule="exact"/>
        <w:rPr>
          <w:rFonts w:ascii="Times New Roman" w:hAnsi="Times New Roman"/>
          <w:sz w:val="44"/>
          <w:szCs w:val="44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邓杰</w:t>
      </w:r>
      <w:r>
        <w:rPr>
          <w:rFonts w:hint="eastAsia" w:ascii="Times New Roman" w:hAnsi="Times New Roman" w:eastAsia="仿宋_GB2312"/>
          <w:sz w:val="32"/>
          <w:szCs w:val="32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您提出的《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关于加强“后疫情时代”招商引资工作的建议</w:t>
      </w:r>
      <w:r>
        <w:rPr>
          <w:rFonts w:hint="eastAsia" w:ascii="Times New Roman" w:hAnsi="Times New Roman" w:eastAsia="仿宋_GB2312"/>
          <w:sz w:val="32"/>
          <w:szCs w:val="32"/>
        </w:rPr>
        <w:t>》的提案收悉，现答复如下：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提案中，两位委员提出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/>
          <w:sz w:val="32"/>
          <w:szCs w:val="32"/>
        </w:rPr>
        <w:t>条建议：一是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走出去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和“请进来”并重</w:t>
      </w:r>
      <w:r>
        <w:rPr>
          <w:rFonts w:hint="eastAsia" w:ascii="Times New Roman" w:hAnsi="Times New Roman" w:eastAsia="仿宋_GB2312"/>
          <w:sz w:val="32"/>
          <w:szCs w:val="32"/>
        </w:rPr>
        <w:t>；二是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加强政策倾斜，推动相关行业健康发展，为推动招商引资创造良好的市场环境；</w:t>
      </w:r>
      <w:r>
        <w:rPr>
          <w:rFonts w:hint="eastAsia" w:ascii="Times New Roman" w:hAnsi="Times New Roman" w:eastAsia="仿宋_GB2312"/>
          <w:sz w:val="32"/>
          <w:szCs w:val="32"/>
        </w:rPr>
        <w:t>三是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打好乡情牌，实现感情招商</w:t>
      </w:r>
      <w:r>
        <w:rPr>
          <w:rFonts w:hint="eastAsia" w:ascii="Times New Roman" w:hAnsi="Times New Roman" w:eastAsia="仿宋_GB2312"/>
          <w:sz w:val="32"/>
          <w:szCs w:val="32"/>
        </w:rPr>
        <w:t>。针对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/>
          <w:sz w:val="32"/>
          <w:szCs w:val="32"/>
        </w:rPr>
        <w:t>条建议，按照区委、区政府的安排部署，并结合我区招商引资工作实际，积极将各项建议落实在具体招商工作中。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一是</w:t>
      </w:r>
      <w:r>
        <w:rPr>
          <w:rFonts w:hint="eastAsia" w:ascii="楷体_GB2312" w:eastAsia="楷体_GB2312"/>
          <w:sz w:val="32"/>
          <w:szCs w:val="32"/>
        </w:rPr>
        <w:t>抢抓机遇</w:t>
      </w:r>
      <w:r>
        <w:rPr>
          <w:rFonts w:hint="eastAsia" w:ascii="楷体_GB2312" w:eastAsia="楷体_GB2312"/>
          <w:sz w:val="32"/>
          <w:szCs w:val="32"/>
          <w:lang w:eastAsia="zh-CN"/>
        </w:rPr>
        <w:t>，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坚定不</w:t>
      </w:r>
      <w:r>
        <w:rPr>
          <w:rFonts w:hint="eastAsia" w:ascii="楷体_GB2312" w:eastAsia="楷体_GB2312" w:cs="Times New Roman"/>
          <w:sz w:val="32"/>
          <w:szCs w:val="32"/>
          <w:lang w:val="en-US" w:eastAsia="zh-CN"/>
        </w:rPr>
        <w:t>移“走出去”和“请进来”。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年以来，区投促中心锚定目标、奋楫争先，大力实施产业链招商、以商招商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今年上半年，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先后谋划区主要领导带队赴北京、上海、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深圳、</w:t>
      </w:r>
      <w:r>
        <w:rPr>
          <w:rFonts w:hint="eastAsia" w:ascii="仿宋_GB2312" w:hAnsi="仿宋_GB2312" w:eastAsia="仿宋_GB2312" w:cs="仿宋_GB2312"/>
          <w:sz w:val="32"/>
          <w:szCs w:val="32"/>
        </w:rPr>
        <w:t>江苏、陕西、宁夏、济南等地开展招商活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次，</w:t>
      </w:r>
      <w:r>
        <w:rPr>
          <w:rFonts w:ascii="Times New Roman" w:hAnsi="Times New Roman" w:eastAsia="仿宋_GB2312" w:cs="Times New Roman"/>
          <w:sz w:val="32"/>
          <w:szCs w:val="32"/>
        </w:rPr>
        <w:t>拜访武汉华工激光工程有限责任公司、中国科学院武汉植物园、京东集团总部、中石化催化剂（北京）有限公司、中节能大地环境修复有限公司等60余家企业，推进50余个在谈合作项目。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下一步我们将继续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紧盯粤港澳大湾区、长三角、京津冀、成渝经济区等产业、资金、技术、人才溢出地和黄河战略、济淄同城化等重大战略布局，加快“走出去、请进来”步伐，加强与500强、行业领军企业等知名企业的对接力度，积极推进项目合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此外，也将按照建议内容，与区</w:t>
      </w:r>
      <w:r>
        <w:rPr>
          <w:rFonts w:hint="eastAsia" w:eastAsia="仿宋_GB2312"/>
          <w:sz w:val="32"/>
          <w:szCs w:val="32"/>
          <w:lang w:val="en-US" w:eastAsia="zh-CN"/>
        </w:rPr>
        <w:t>商务局积极配合，通过大型国际展会、组织企业出国访问考察等方式，主动宣传推介我区产业优势，邀请跨国公司、龙头企业积极来周考察洽谈，寻找商机和合作机会。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_GB2312" w:eastAsia="楷体_GB2312" w:cs="Times New Roman"/>
          <w:sz w:val="32"/>
          <w:szCs w:val="32"/>
          <w:lang w:val="en-US" w:eastAsia="zh-CN"/>
        </w:rPr>
        <w:t>二是政策倾斜，引金融活水助企纾困解难。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引导银行落实《金融服务支持疫情防控和经济社会稳定发展十条措施》、《淄博市助企纾困金融产品汇编》、“六稳六保”等一揽子助企纾困政策。瞄准中小微企业还贷和续贷审批周期长，还贷成本高，缺少有效抵、质押物等问题，积极协调银行面向中小微企业提供无还本续贷、创业担保贷、银税贷、技改贷、齐鑫贷等普惠型信贷产品，梳理形成《周村区金融产品汇编》，线上线下推送至中小企业，提高企业政策知晓度。截至5月末，我区人民币贷款余额288.28亿元，较年初增加24.77亿元，同比增速达到13.27%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eastAsia="楷体_GB2312" w:cs="Times New Roman"/>
          <w:sz w:val="32"/>
          <w:szCs w:val="32"/>
          <w:lang w:val="en-US" w:eastAsia="zh-CN"/>
        </w:rPr>
        <w:t>三是搭建平台，多措并举拓宽招商渠道。</w:t>
      </w:r>
      <w:r>
        <w:rPr>
          <w:rFonts w:eastAsia="仿宋_GB2312"/>
          <w:snapToGrid w:val="0"/>
          <w:kern w:val="0"/>
          <w:sz w:val="32"/>
          <w:szCs w:val="32"/>
        </w:rPr>
        <w:t>积极开展以商招商。</w:t>
      </w:r>
      <w:r>
        <w:rPr>
          <w:rFonts w:ascii="Times New Roman" w:hAnsi="Times New Roman" w:eastAsia="仿宋_GB2312"/>
          <w:sz w:val="32"/>
          <w:szCs w:val="32"/>
        </w:rPr>
        <w:t>把已经落户的外来企业当作巨大的招商资源，充分调动他们交际广、朋友多、信息灵的优势，牵线搭桥，以他们的现身说法吸引和带动更多的外商前来投资兴业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加强与龙头企业、行业商会、协会机构或政府驻外机构联系，</w:t>
      </w:r>
      <w:r>
        <w:rPr>
          <w:rFonts w:hint="eastAsia" w:eastAsia="仿宋_GB2312"/>
          <w:sz w:val="32"/>
          <w:szCs w:val="32"/>
          <w:lang w:val="en-US" w:eastAsia="zh-CN"/>
        </w:rPr>
        <w:t>围绕</w:t>
      </w:r>
      <w:r>
        <w:rPr>
          <w:rFonts w:ascii="Times New Roman" w:hAnsi="Times New Roman" w:eastAsia="仿宋_GB2312" w:cs="Times New Roman"/>
          <w:spacing w:val="6"/>
          <w:sz w:val="32"/>
          <w:szCs w:val="32"/>
        </w:rPr>
        <w:t>“文旅产业+‘1+3+4’八条重点产业链”发展布局，</w:t>
      </w:r>
      <w:r>
        <w:rPr>
          <w:rFonts w:eastAsia="仿宋_GB2312"/>
          <w:sz w:val="32"/>
          <w:szCs w:val="32"/>
        </w:rPr>
        <w:t>在长三角、珠三角、京津冀等区域建立委托招商长效合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作机制，积极搭建对外招引合作窗口；强化园区招商，依托三大园区，发挥辖区内重点企业及专业招商机构的上下游产业资源优势，建立 “招商朋友圈”，通过产业合作、互利共赢的方式，加大500强、行业龙头企业的招引力度。在对外精准招引的同时，加大西铁城精机、嘉富自动化、泰鼎机械等企业优质设备和入厂服务推介，推动我区企业对外生态链扩张，进一步扩大以商引商生态圈，让更多本土和上下游企业为周村代言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同时，加强与组织部、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统战部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等部门单位的互动、配合，充分发挥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周村籍成功人士、企业家资源优势，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先后在北京、上海召开在外优秀人才座谈会，在香港聘请乡贤赵扬律师为“双招双引大使”、聘请新加坡庄木业私人有限公司董事长庄逸为“招商大使”聘书，通过多种方式拓宽交流渠道，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积极为我区招商引资工作献计献策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牵线搭桥。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此外，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开展“互联网招商”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模式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进一步完善微信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公众号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更新升级全新2023年招商地图，为进一步增强“地图”属性，在可利用楼宇和厂房中添加导航功能，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让投资者“足不出户”与我区互动，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力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促成项目快速落地。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以上是对您提出的《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关于加强“后疫情时代”招商引资工作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的建议</w:t>
      </w:r>
      <w:r>
        <w:rPr>
          <w:rFonts w:hint="eastAsia" w:ascii="Times New Roman" w:hAnsi="Times New Roman" w:eastAsia="仿宋_GB2312"/>
          <w:sz w:val="32"/>
          <w:szCs w:val="32"/>
        </w:rPr>
        <w:t>》的答复，不足之处请指正。希望继续得到您的关心和支持，让我们共同携手，为进一步推动双招双引工作而共同努力。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 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周村区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投资促进中心</w:t>
      </w:r>
    </w:p>
    <w:p>
      <w:pPr>
        <w:spacing w:line="560" w:lineRule="exact"/>
        <w:ind w:firstLine="4800" w:firstLineChars="15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spacing w:line="560" w:lineRule="exact"/>
        <w:ind w:firstLine="4800" w:firstLineChars="15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联系人：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马燕 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联系电话：6195137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抄送：区委办公室（区政府办公室)、区政协提案工作室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/>
    <w:p/>
    <w:sectPr>
      <w:footerReference r:id="rId3" w:type="default"/>
      <w:footerReference r:id="rId4" w:type="even"/>
      <w:pgSz w:w="11906" w:h="16838"/>
      <w:pgMar w:top="2041" w:right="1531" w:bottom="1701" w:left="1531" w:header="851" w:footer="1418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ascii="Times New Roman" w:hAnsi="Times New Roman"/>
        <w:sz w:val="28"/>
        <w:szCs w:val="28"/>
      </w:rPr>
    </w:pPr>
    <w:r>
      <w:rPr>
        <w:rStyle w:val="6"/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- 2 -</w:t>
    </w:r>
    <w:r>
      <w:rPr>
        <w:rStyle w:val="6"/>
        <w:rFonts w:ascii="Times New Roman" w:hAnsi="Times New Roman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NDhlMzdmNWIwYTY5Mjc0YWFjMzliYzJkMDk4MDIifQ=="/>
  </w:docVars>
  <w:rsids>
    <w:rsidRoot w:val="71D36820"/>
    <w:rsid w:val="02803014"/>
    <w:rsid w:val="02DE5ECF"/>
    <w:rsid w:val="03286142"/>
    <w:rsid w:val="05FA6D67"/>
    <w:rsid w:val="07C115F6"/>
    <w:rsid w:val="0C4E0237"/>
    <w:rsid w:val="0DE14811"/>
    <w:rsid w:val="147F6DE6"/>
    <w:rsid w:val="164A4628"/>
    <w:rsid w:val="1861091A"/>
    <w:rsid w:val="1ADE73BC"/>
    <w:rsid w:val="1BE734C0"/>
    <w:rsid w:val="1C323605"/>
    <w:rsid w:val="22F30F71"/>
    <w:rsid w:val="255C159E"/>
    <w:rsid w:val="267562A0"/>
    <w:rsid w:val="28BD53D6"/>
    <w:rsid w:val="29857BF5"/>
    <w:rsid w:val="2B714BDF"/>
    <w:rsid w:val="2D720E3E"/>
    <w:rsid w:val="33863895"/>
    <w:rsid w:val="3A4122D6"/>
    <w:rsid w:val="3D6F48F1"/>
    <w:rsid w:val="3E314431"/>
    <w:rsid w:val="40881501"/>
    <w:rsid w:val="46C84927"/>
    <w:rsid w:val="478049AD"/>
    <w:rsid w:val="47883603"/>
    <w:rsid w:val="487E46E3"/>
    <w:rsid w:val="4BEA6D10"/>
    <w:rsid w:val="4C7023E7"/>
    <w:rsid w:val="4E1054A6"/>
    <w:rsid w:val="52051B3F"/>
    <w:rsid w:val="548C6403"/>
    <w:rsid w:val="54E43F33"/>
    <w:rsid w:val="645E3666"/>
    <w:rsid w:val="71D36820"/>
    <w:rsid w:val="76495307"/>
    <w:rsid w:val="7BF54AA2"/>
    <w:rsid w:val="7E235610"/>
    <w:rsid w:val="7ED3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1571</Words>
  <Characters>1617</Characters>
  <Lines>0</Lines>
  <Paragraphs>0</Paragraphs>
  <TotalTime>14</TotalTime>
  <ScaleCrop>false</ScaleCrop>
  <LinksUpToDate>false</LinksUpToDate>
  <CharactersWithSpaces>1671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2023-03-23T01:14:00Z</dcterms:created>
  <dc:creator>admin</dc:creator>
  <cp:lastModifiedBy>可乐淘</cp:lastModifiedBy>
  <cp:lastPrinted>2023-07-24T01:23:26Z</cp:lastPrinted>
  <dcterms:modified xsi:type="dcterms:W3CDTF">2023-07-24T01:23:36Z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F31A7D0176104C178D262929AE2BCB0E_13</vt:lpwstr>
  </property>
</Properties>
</file>