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w:hAnsi="Times New Roman" w:eastAsia="宋体" w:cs="Times New Roman"/>
          <w:sz w:val="32"/>
          <w:szCs w:val="32"/>
        </w:rPr>
      </w:pPr>
      <w:r>
        <w:rPr>
          <w:rFonts w:hint="eastAsia" w:ascii="Times New Roman" w:hAnsi="Times New Roman" w:eastAsia="宋体" w:cs="Times New Roman"/>
          <w:b/>
          <w:bCs/>
          <w:i w:val="0"/>
          <w:iCs w:val="0"/>
          <w:caps w:val="0"/>
          <w:color w:val="333333"/>
          <w:spacing w:val="0"/>
          <w:kern w:val="0"/>
          <w:sz w:val="32"/>
          <w:szCs w:val="32"/>
          <w:shd w:val="clear" w:fill="FFFFFF"/>
          <w:lang w:val="en-US" w:eastAsia="zh-CN" w:bidi="ar"/>
        </w:rPr>
        <w:t>淄博圣坤耐火材料有限公司</w:t>
      </w:r>
      <w:r>
        <w:rPr>
          <w:rFonts w:hint="default" w:ascii="Times New Roman" w:hAnsi="Times New Roman" w:eastAsia="宋体" w:cs="Times New Roman"/>
          <w:b/>
          <w:bCs/>
          <w:i w:val="0"/>
          <w:iCs w:val="0"/>
          <w:caps w:val="0"/>
          <w:color w:val="333333"/>
          <w:spacing w:val="0"/>
          <w:kern w:val="0"/>
          <w:sz w:val="32"/>
          <w:szCs w:val="32"/>
          <w:shd w:val="clear" w:fill="FFFFFF"/>
          <w:lang w:val="en-US" w:eastAsia="zh-CN" w:bidi="ar"/>
        </w:rPr>
        <w:t>清洁生产审核公示</w:t>
      </w:r>
    </w:p>
    <w:p>
      <w:pPr>
        <w:spacing w:line="360" w:lineRule="auto"/>
        <w:ind w:firstLine="480" w:firstLineChars="200"/>
        <w:rPr>
          <w:rFonts w:hint="eastAsia" w:ascii="Times New Roman" w:hAnsi="Times New Roman" w:cs="Times New Roman"/>
          <w:sz w:val="24"/>
          <w:szCs w:val="24"/>
          <w:lang w:val="en-US" w:eastAsia="zh-CN"/>
        </w:rPr>
      </w:pPr>
    </w:p>
    <w:p>
      <w:pPr>
        <w:spacing w:line="360" w:lineRule="auto"/>
        <w:ind w:firstLine="480" w:firstLineChars="200"/>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Times New Roman" w:hAnsi="Times New Roman" w:cs="Times New Roman"/>
          <w:sz w:val="24"/>
          <w:szCs w:val="24"/>
          <w:lang w:val="en-US" w:eastAsia="zh-CN"/>
        </w:rPr>
        <w:t>根据山东省生态环境厅《关于下达20</w:t>
      </w:r>
      <w:bookmarkStart w:id="0" w:name="_GoBack"/>
      <w:bookmarkEnd w:id="0"/>
      <w:r>
        <w:rPr>
          <w:rFonts w:hint="eastAsia" w:ascii="Times New Roman" w:hAnsi="Times New Roman" w:cs="Times New Roman"/>
          <w:sz w:val="24"/>
          <w:szCs w:val="24"/>
          <w:lang w:val="en-US" w:eastAsia="zh-CN"/>
        </w:rPr>
        <w:t>23年度山东省实施强制性清洁生产审核企业名单的通知》（鲁环字〔2023〕36号）及淄博市生态环境局《关于下达2023年度实施强制性清洁生产审核企业名单的通知》要求</w:t>
      </w:r>
      <w:r>
        <w:rPr>
          <w:rFonts w:hint="eastAsia" w:ascii="宋体" w:hAnsi="宋体" w:eastAsia="宋体" w:cs="宋体"/>
          <w:i w:val="0"/>
          <w:iCs w:val="0"/>
          <w:caps w:val="0"/>
          <w:color w:val="333333"/>
          <w:spacing w:val="0"/>
          <w:kern w:val="0"/>
          <w:sz w:val="24"/>
          <w:szCs w:val="24"/>
          <w:shd w:val="clear" w:fill="FFFFFF"/>
          <w:lang w:val="en-US" w:eastAsia="zh-CN" w:bidi="ar"/>
        </w:rPr>
        <w:t>，淄博圣坤耐火材料有限公司被列入名单之中。</w:t>
      </w:r>
      <w:r>
        <w:rPr>
          <w:rFonts w:hint="eastAsia" w:ascii="Times New Roman" w:hAnsi="Times New Roman" w:cs="Times New Roman"/>
          <w:sz w:val="24"/>
          <w:szCs w:val="24"/>
          <w:lang w:val="en-US" w:eastAsia="zh-CN"/>
        </w:rPr>
        <w:t>根据《清洁生产审核办法》，公司应当实施强制性清洁生产审核。</w:t>
      </w:r>
    </w:p>
    <w:p>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淄博圣坤耐火材料有限公司按照法律法规规定向公众公示公司的基本情况（即：企业名称、法人代表、企业所在地址、主要能源品种及消耗量、单位产值能耗、单位产品能耗等）。请社会各界对我公司实施强制性清洁生产审核的情况进行监督。公示信息内容如下表：</w:t>
      </w:r>
    </w:p>
    <w:p>
      <w:pPr>
        <w:spacing w:line="360" w:lineRule="auto"/>
        <w:jc w:val="center"/>
        <w:rPr>
          <w:rFonts w:hint="default" w:ascii="Times New Roman" w:hAnsi="Times New Roman" w:cs="Times New Roman"/>
          <w:b/>
          <w:bCs/>
          <w:sz w:val="24"/>
          <w:szCs w:val="24"/>
          <w:lang w:eastAsia="zh-CN"/>
        </w:rPr>
      </w:pPr>
      <w:r>
        <w:rPr>
          <w:rFonts w:hint="eastAsia" w:ascii="Times New Roman" w:hAnsi="Times New Roman" w:cs="Times New Roman"/>
          <w:b/>
          <w:bCs/>
          <w:sz w:val="24"/>
          <w:szCs w:val="24"/>
          <w:lang w:val="en-US" w:eastAsia="zh-CN"/>
        </w:rPr>
        <w:t>淄博圣坤耐火材料有限公司</w:t>
      </w:r>
      <w:r>
        <w:rPr>
          <w:rFonts w:hint="default" w:ascii="Times New Roman" w:hAnsi="Times New Roman" w:cs="Times New Roman"/>
          <w:b/>
          <w:bCs/>
          <w:sz w:val="24"/>
          <w:szCs w:val="24"/>
          <w:lang w:val="en-US" w:eastAsia="zh-CN"/>
        </w:rPr>
        <w:t>清洁生产审核</w:t>
      </w:r>
      <w:r>
        <w:rPr>
          <w:rFonts w:hint="eastAsia" w:ascii="Times New Roman" w:hAnsi="Times New Roman" w:cs="Times New Roman"/>
          <w:b/>
          <w:bCs/>
          <w:sz w:val="24"/>
          <w:szCs w:val="24"/>
          <w:lang w:eastAsia="zh-CN"/>
        </w:rPr>
        <w:t>公示信息</w:t>
      </w:r>
      <w:r>
        <w:rPr>
          <w:rFonts w:hint="default" w:ascii="Times New Roman" w:hAnsi="Times New Roman" w:cs="Times New Roman"/>
          <w:b/>
          <w:bCs/>
          <w:sz w:val="24"/>
          <w:szCs w:val="24"/>
          <w:lang w:val="en-US" w:eastAsia="zh-CN"/>
        </w:rPr>
        <w:t>情况表</w:t>
      </w:r>
    </w:p>
    <w:tbl>
      <w:tblPr>
        <w:tblStyle w:val="8"/>
        <w:tblW w:w="496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2116"/>
        <w:gridCol w:w="2116"/>
        <w:gridCol w:w="21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pct"/>
            <w:tcBorders>
              <w:tl2br w:val="nil"/>
              <w:tr2bl w:val="nil"/>
            </w:tcBorders>
            <w:vAlign w:val="center"/>
          </w:tcPr>
          <w:p>
            <w:pPr>
              <w:spacing w:line="240" w:lineRule="auto"/>
              <w:jc w:val="center"/>
              <w:rPr>
                <w:rFonts w:hint="default" w:ascii="Times New Roman" w:hAnsi="Times New Roman" w:cs="Times New Roman"/>
                <w:b/>
                <w:bCs/>
                <w:sz w:val="24"/>
                <w:szCs w:val="24"/>
                <w:lang w:eastAsia="zh-CN"/>
              </w:rPr>
            </w:pPr>
            <w:r>
              <w:rPr>
                <w:rFonts w:hint="eastAsia" w:ascii="Times New Roman" w:hAnsi="Times New Roman" w:cs="Times New Roman"/>
                <w:b/>
                <w:bCs/>
                <w:sz w:val="24"/>
                <w:szCs w:val="24"/>
                <w:lang w:eastAsia="zh-CN"/>
              </w:rPr>
              <w:t>企业</w:t>
            </w:r>
            <w:r>
              <w:rPr>
                <w:rFonts w:hint="default" w:ascii="Times New Roman" w:hAnsi="Times New Roman" w:cs="Times New Roman"/>
                <w:b/>
                <w:bCs/>
                <w:sz w:val="24"/>
                <w:szCs w:val="24"/>
                <w:lang w:eastAsia="zh-CN"/>
              </w:rPr>
              <w:t>名称</w:t>
            </w:r>
          </w:p>
        </w:tc>
        <w:tc>
          <w:tcPr>
            <w:tcW w:w="1249" w:type="pct"/>
            <w:tcBorders>
              <w:tl2br w:val="nil"/>
              <w:tr2bl w:val="nil"/>
            </w:tcBorders>
            <w:vAlign w:val="center"/>
          </w:tcPr>
          <w:p>
            <w:pPr>
              <w:spacing w:line="240" w:lineRule="auto"/>
              <w:jc w:val="center"/>
              <w:rPr>
                <w:rFonts w:hint="default" w:ascii="Times New Roman" w:hAnsi="Times New Roman" w:cs="Times New Roman"/>
                <w:sz w:val="24"/>
                <w:szCs w:val="24"/>
                <w:lang w:eastAsia="zh-CN"/>
              </w:rPr>
            </w:pPr>
            <w:r>
              <w:rPr>
                <w:rFonts w:hint="eastAsia" w:ascii="Times New Roman" w:hAnsi="Times New Roman" w:cs="Times New Roman"/>
                <w:sz w:val="24"/>
                <w:szCs w:val="24"/>
                <w:lang w:eastAsia="zh-CN"/>
              </w:rPr>
              <w:t>淄博圣坤耐火材料有限公司</w:t>
            </w:r>
          </w:p>
        </w:tc>
        <w:tc>
          <w:tcPr>
            <w:tcW w:w="1249" w:type="pct"/>
            <w:tcBorders>
              <w:tl2br w:val="nil"/>
              <w:tr2bl w:val="nil"/>
            </w:tcBorders>
            <w:vAlign w:val="center"/>
          </w:tcPr>
          <w:p>
            <w:pPr>
              <w:spacing w:line="240" w:lineRule="auto"/>
              <w:jc w:val="center"/>
              <w:rPr>
                <w:rFonts w:hint="eastAsia" w:ascii="Times New Roman" w:hAnsi="Times New Roman" w:cs="Times New Roman"/>
                <w:sz w:val="24"/>
                <w:szCs w:val="24"/>
                <w:lang w:eastAsia="zh-CN"/>
              </w:rPr>
            </w:pPr>
            <w:r>
              <w:rPr>
                <w:rFonts w:hint="eastAsia" w:ascii="Times New Roman" w:hAnsi="Times New Roman" w:cs="Times New Roman"/>
                <w:b/>
                <w:bCs/>
                <w:sz w:val="24"/>
                <w:szCs w:val="24"/>
                <w:lang w:eastAsia="zh-CN"/>
              </w:rPr>
              <w:t>法人代表</w:t>
            </w:r>
          </w:p>
        </w:tc>
        <w:tc>
          <w:tcPr>
            <w:tcW w:w="1250" w:type="pct"/>
            <w:tcBorders>
              <w:tl2br w:val="nil"/>
              <w:tr2bl w:val="nil"/>
            </w:tcBorders>
            <w:vAlign w:val="center"/>
          </w:tcPr>
          <w:p>
            <w:pPr>
              <w:spacing w:line="240" w:lineRule="auto"/>
              <w:jc w:val="center"/>
              <w:rPr>
                <w:rFonts w:hint="default" w:ascii="Times New Roman" w:hAnsi="Times New Roman" w:cs="Times New Roman"/>
                <w:sz w:val="24"/>
                <w:szCs w:val="24"/>
                <w:lang w:eastAsia="zh-CN"/>
              </w:rPr>
            </w:pPr>
            <w:r>
              <w:rPr>
                <w:rFonts w:hint="eastAsia" w:ascii="Times New Roman" w:hAnsi="Times New Roman" w:cs="Times New Roman"/>
                <w:sz w:val="24"/>
                <w:szCs w:val="24"/>
                <w:lang w:eastAsia="zh-CN"/>
              </w:rPr>
              <w:t>王菊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pct"/>
            <w:tcBorders>
              <w:tl2br w:val="nil"/>
              <w:tr2bl w:val="nil"/>
            </w:tcBorders>
            <w:vAlign w:val="center"/>
          </w:tcPr>
          <w:p>
            <w:pPr>
              <w:spacing w:line="240" w:lineRule="auto"/>
              <w:jc w:val="center"/>
              <w:rPr>
                <w:rFonts w:hint="default" w:ascii="Times New Roman" w:hAnsi="Times New Roman" w:cs="Times New Roman"/>
                <w:b/>
                <w:bCs/>
                <w:sz w:val="24"/>
                <w:szCs w:val="24"/>
                <w:lang w:eastAsia="zh-CN"/>
              </w:rPr>
            </w:pPr>
            <w:r>
              <w:rPr>
                <w:rFonts w:hint="default" w:ascii="Times New Roman" w:hAnsi="Times New Roman" w:cs="Times New Roman"/>
                <w:b/>
                <w:bCs/>
                <w:sz w:val="24"/>
                <w:szCs w:val="24"/>
                <w:lang w:eastAsia="zh-CN"/>
              </w:rPr>
              <w:t>企业所在地址</w:t>
            </w:r>
          </w:p>
        </w:tc>
        <w:tc>
          <w:tcPr>
            <w:tcW w:w="3749" w:type="pct"/>
            <w:gridSpan w:val="3"/>
            <w:tcBorders>
              <w:tl2br w:val="nil"/>
              <w:tr2bl w:val="nil"/>
            </w:tcBorders>
            <w:vAlign w:val="center"/>
          </w:tcPr>
          <w:p>
            <w:pPr>
              <w:spacing w:line="240" w:lineRule="auto"/>
              <w:jc w:val="center"/>
              <w:rPr>
                <w:rFonts w:hint="default" w:ascii="Times New Roman" w:hAnsi="Times New Roman" w:cs="Times New Roman"/>
                <w:sz w:val="24"/>
                <w:szCs w:val="24"/>
                <w:lang w:eastAsia="zh-CN"/>
              </w:rPr>
            </w:pPr>
            <w:r>
              <w:rPr>
                <w:rFonts w:hint="eastAsia" w:ascii="Times New Roman" w:hAnsi="Times New Roman" w:cs="Times New Roman"/>
                <w:sz w:val="24"/>
                <w:szCs w:val="24"/>
                <w:lang w:eastAsia="zh-CN"/>
              </w:rPr>
              <w:t>周村区王村镇西铺村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0" w:type="pct"/>
            <w:tcBorders>
              <w:tl2br w:val="nil"/>
              <w:tr2bl w:val="nil"/>
            </w:tcBorders>
            <w:vAlign w:val="center"/>
          </w:tcPr>
          <w:p>
            <w:pPr>
              <w:spacing w:line="240" w:lineRule="auto"/>
              <w:jc w:val="center"/>
              <w:rPr>
                <w:rFonts w:hint="default" w:ascii="Times New Roman" w:hAnsi="Times New Roman" w:cs="Times New Roman"/>
                <w:b/>
                <w:bCs/>
                <w:sz w:val="24"/>
                <w:szCs w:val="24"/>
                <w:lang w:eastAsia="zh-CN"/>
              </w:rPr>
            </w:pPr>
            <w:r>
              <w:rPr>
                <w:rFonts w:hint="eastAsia" w:ascii="Times New Roman" w:hAnsi="Times New Roman" w:cs="Times New Roman"/>
                <w:b/>
                <w:bCs/>
                <w:sz w:val="24"/>
                <w:szCs w:val="24"/>
                <w:lang w:eastAsia="zh-CN"/>
              </w:rPr>
              <w:t>联系人</w:t>
            </w:r>
          </w:p>
        </w:tc>
        <w:tc>
          <w:tcPr>
            <w:tcW w:w="1249" w:type="pct"/>
            <w:tcBorders>
              <w:tl2br w:val="nil"/>
              <w:tr2bl w:val="nil"/>
            </w:tcBorders>
            <w:vAlign w:val="center"/>
          </w:tcPr>
          <w:p>
            <w:pPr>
              <w:spacing w:line="240" w:lineRule="auto"/>
              <w:jc w:val="center"/>
              <w:rPr>
                <w:rFonts w:hint="eastAsia" w:ascii="Times New Roman" w:hAnsi="Times New Roman" w:cs="Times New Roman"/>
                <w:sz w:val="24"/>
                <w:szCs w:val="24"/>
                <w:lang w:eastAsia="zh-CN"/>
              </w:rPr>
            </w:pPr>
            <w:r>
              <w:rPr>
                <w:rFonts w:hint="eastAsia"/>
                <w:bCs/>
                <w:sz w:val="24"/>
              </w:rPr>
              <w:t>毕海霞</w:t>
            </w:r>
          </w:p>
        </w:tc>
        <w:tc>
          <w:tcPr>
            <w:tcW w:w="1249" w:type="pct"/>
            <w:tcBorders>
              <w:tl2br w:val="nil"/>
              <w:tr2bl w:val="nil"/>
            </w:tcBorders>
            <w:vAlign w:val="center"/>
          </w:tcPr>
          <w:p>
            <w:pPr>
              <w:spacing w:line="240" w:lineRule="auto"/>
              <w:jc w:val="center"/>
              <w:rPr>
                <w:rFonts w:hint="eastAsia" w:ascii="Times New Roman" w:hAnsi="Times New Roman" w:cs="Times New Roman"/>
                <w:sz w:val="24"/>
                <w:szCs w:val="24"/>
                <w:lang w:eastAsia="zh-CN"/>
              </w:rPr>
            </w:pPr>
            <w:r>
              <w:rPr>
                <w:rFonts w:hint="eastAsia" w:ascii="Times New Roman" w:hAnsi="Times New Roman" w:cs="Times New Roman"/>
                <w:b/>
                <w:bCs/>
                <w:sz w:val="24"/>
                <w:szCs w:val="24"/>
                <w:lang w:eastAsia="zh-CN"/>
              </w:rPr>
              <w:t>联系电话</w:t>
            </w:r>
          </w:p>
        </w:tc>
        <w:tc>
          <w:tcPr>
            <w:tcW w:w="1250" w:type="pct"/>
            <w:tcBorders>
              <w:tl2br w:val="nil"/>
              <w:tr2bl w:val="nil"/>
            </w:tcBorders>
            <w:vAlign w:val="center"/>
          </w:tcPr>
          <w:p>
            <w:pPr>
              <w:spacing w:line="240" w:lineRule="auto"/>
              <w:jc w:val="center"/>
              <w:rPr>
                <w:rFonts w:hint="eastAsia" w:ascii="Times New Roman" w:hAnsi="Times New Roman" w:cs="Times New Roman"/>
                <w:sz w:val="24"/>
                <w:szCs w:val="24"/>
                <w:lang w:eastAsia="zh-CN"/>
              </w:rPr>
            </w:pPr>
            <w:r>
              <w:rPr>
                <w:rFonts w:hint="eastAsia"/>
                <w:sz w:val="24"/>
              </w:rPr>
              <w:t>15964467897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0" w:type="pct"/>
            <w:vMerge w:val="restart"/>
            <w:tcBorders>
              <w:tl2br w:val="nil"/>
              <w:tr2bl w:val="nil"/>
            </w:tcBorders>
            <w:vAlign w:val="center"/>
          </w:tcPr>
          <w:p>
            <w:pPr>
              <w:spacing w:line="240" w:lineRule="auto"/>
              <w:jc w:val="center"/>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主要能源品种及消耗量</w:t>
            </w:r>
          </w:p>
        </w:tc>
        <w:tc>
          <w:tcPr>
            <w:tcW w:w="1249" w:type="pct"/>
            <w:tcBorders>
              <w:tl2br w:val="nil"/>
              <w:tr2bl w:val="nil"/>
            </w:tcBorders>
            <w:vAlign w:val="center"/>
          </w:tcPr>
          <w:p>
            <w:pPr>
              <w:spacing w:line="240" w:lineRule="auto"/>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名称</w:t>
            </w:r>
          </w:p>
        </w:tc>
        <w:tc>
          <w:tcPr>
            <w:tcW w:w="1249" w:type="pct"/>
            <w:tcBorders>
              <w:tl2br w:val="nil"/>
              <w:tr2bl w:val="nil"/>
            </w:tcBorders>
            <w:vAlign w:val="center"/>
          </w:tcPr>
          <w:p>
            <w:pPr>
              <w:spacing w:line="24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用量</w:t>
            </w:r>
          </w:p>
        </w:tc>
        <w:tc>
          <w:tcPr>
            <w:tcW w:w="1250" w:type="pct"/>
            <w:tcBorders>
              <w:tl2br w:val="nil"/>
              <w:tr2bl w:val="nil"/>
            </w:tcBorders>
            <w:vAlign w:val="center"/>
          </w:tcPr>
          <w:p>
            <w:pPr>
              <w:spacing w:line="24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0" w:type="pct"/>
            <w:vMerge w:val="continue"/>
            <w:tcBorders>
              <w:tl2br w:val="nil"/>
              <w:tr2bl w:val="nil"/>
            </w:tcBorders>
            <w:vAlign w:val="center"/>
          </w:tcPr>
          <w:p>
            <w:pPr>
              <w:spacing w:line="240" w:lineRule="auto"/>
              <w:jc w:val="center"/>
              <w:rPr>
                <w:rFonts w:hint="eastAsia" w:ascii="Times New Roman" w:hAnsi="Times New Roman" w:cs="Times New Roman"/>
                <w:sz w:val="24"/>
                <w:szCs w:val="24"/>
                <w:lang w:val="en-US" w:eastAsia="zh-CN"/>
              </w:rPr>
            </w:pPr>
          </w:p>
        </w:tc>
        <w:tc>
          <w:tcPr>
            <w:tcW w:w="1249" w:type="pct"/>
            <w:tcBorders>
              <w:tl2br w:val="nil"/>
              <w:tr2bl w:val="nil"/>
            </w:tcBorders>
            <w:vAlign w:val="center"/>
          </w:tcPr>
          <w:p>
            <w:pPr>
              <w:spacing w:line="240" w:lineRule="auto"/>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eastAsia="zh-CN"/>
              </w:rPr>
              <w:t>水</w:t>
            </w:r>
          </w:p>
        </w:tc>
        <w:tc>
          <w:tcPr>
            <w:tcW w:w="1249" w:type="pct"/>
            <w:tcBorders>
              <w:tl2br w:val="nil"/>
              <w:tr2bl w:val="nil"/>
            </w:tcBorders>
            <w:vAlign w:val="center"/>
          </w:tcPr>
          <w:p>
            <w:pPr>
              <w:spacing w:line="24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eastAsia="zh-CN"/>
              </w:rPr>
              <w:t>1383</w:t>
            </w:r>
          </w:p>
        </w:tc>
        <w:tc>
          <w:tcPr>
            <w:tcW w:w="1250" w:type="pct"/>
            <w:tcBorders>
              <w:tl2br w:val="nil"/>
              <w:tr2bl w:val="nil"/>
            </w:tcBorders>
            <w:vAlign w:val="center"/>
          </w:tcPr>
          <w:p>
            <w:pPr>
              <w:spacing w:line="24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0" w:type="pct"/>
            <w:vMerge w:val="continue"/>
            <w:tcBorders>
              <w:tl2br w:val="nil"/>
              <w:tr2bl w:val="nil"/>
            </w:tcBorders>
            <w:vAlign w:val="center"/>
          </w:tcPr>
          <w:p>
            <w:pPr>
              <w:spacing w:line="240" w:lineRule="auto"/>
              <w:jc w:val="center"/>
              <w:rPr>
                <w:rFonts w:hint="eastAsia" w:ascii="Times New Roman" w:hAnsi="Times New Roman" w:cs="Times New Roman"/>
                <w:sz w:val="24"/>
                <w:szCs w:val="24"/>
                <w:lang w:val="en-US" w:eastAsia="zh-CN"/>
              </w:rPr>
            </w:pPr>
          </w:p>
        </w:tc>
        <w:tc>
          <w:tcPr>
            <w:tcW w:w="1249" w:type="pct"/>
            <w:tcBorders>
              <w:tl2br w:val="nil"/>
              <w:tr2bl w:val="nil"/>
            </w:tcBorders>
            <w:vAlign w:val="center"/>
          </w:tcPr>
          <w:p>
            <w:pPr>
              <w:spacing w:line="240" w:lineRule="auto"/>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eastAsia="zh-CN"/>
              </w:rPr>
              <w:t>电</w:t>
            </w:r>
          </w:p>
        </w:tc>
        <w:tc>
          <w:tcPr>
            <w:tcW w:w="1249" w:type="pct"/>
            <w:tcBorders>
              <w:tl2br w:val="nil"/>
              <w:tr2bl w:val="nil"/>
            </w:tcBorders>
            <w:vAlign w:val="center"/>
          </w:tcPr>
          <w:p>
            <w:pPr>
              <w:spacing w:line="24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eastAsia="zh-CN"/>
              </w:rPr>
              <w:t>6万</w:t>
            </w:r>
          </w:p>
        </w:tc>
        <w:tc>
          <w:tcPr>
            <w:tcW w:w="1250" w:type="pct"/>
            <w:tcBorders>
              <w:tl2br w:val="nil"/>
              <w:tr2bl w:val="nil"/>
            </w:tcBorders>
            <w:vAlign w:val="center"/>
          </w:tcPr>
          <w:p>
            <w:pPr>
              <w:spacing w:line="24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eastAsia="zh-CN"/>
              </w:rPr>
              <w:t>kwh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0" w:type="pct"/>
            <w:vMerge w:val="continue"/>
            <w:tcBorders>
              <w:tl2br w:val="nil"/>
              <w:tr2bl w:val="nil"/>
            </w:tcBorders>
            <w:vAlign w:val="center"/>
          </w:tcPr>
          <w:p>
            <w:pPr>
              <w:spacing w:line="240" w:lineRule="auto"/>
              <w:jc w:val="center"/>
              <w:rPr>
                <w:rFonts w:hint="default" w:ascii="Times New Roman" w:hAnsi="Times New Roman" w:cs="Times New Roman"/>
                <w:sz w:val="24"/>
                <w:szCs w:val="24"/>
                <w:lang w:eastAsia="zh-CN"/>
              </w:rPr>
            </w:pPr>
          </w:p>
        </w:tc>
        <w:tc>
          <w:tcPr>
            <w:tcW w:w="1249" w:type="pct"/>
            <w:tcBorders>
              <w:tl2br w:val="nil"/>
              <w:tr2bl w:val="nil"/>
            </w:tcBorders>
            <w:vAlign w:val="center"/>
          </w:tcPr>
          <w:p>
            <w:pPr>
              <w:spacing w:line="24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eastAsia="zh-CN"/>
              </w:rPr>
              <w:t>天然气</w:t>
            </w:r>
          </w:p>
        </w:tc>
        <w:tc>
          <w:tcPr>
            <w:tcW w:w="1249" w:type="pct"/>
            <w:tcBorders>
              <w:tl2br w:val="nil"/>
              <w:tr2bl w:val="nil"/>
            </w:tcBorders>
            <w:vAlign w:val="center"/>
          </w:tcPr>
          <w:p>
            <w:pPr>
              <w:spacing w:line="240" w:lineRule="auto"/>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90万</w:t>
            </w:r>
          </w:p>
        </w:tc>
        <w:tc>
          <w:tcPr>
            <w:tcW w:w="1250" w:type="pct"/>
            <w:tcBorders>
              <w:tl2br w:val="nil"/>
              <w:tr2bl w:val="nil"/>
            </w:tcBorders>
            <w:vAlign w:val="center"/>
          </w:tcPr>
          <w:p>
            <w:pPr>
              <w:spacing w:line="24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0" w:type="pct"/>
            <w:tcBorders>
              <w:tl2br w:val="nil"/>
              <w:tr2bl w:val="nil"/>
            </w:tcBorders>
            <w:vAlign w:val="center"/>
          </w:tcPr>
          <w:p>
            <w:pPr>
              <w:spacing w:line="240" w:lineRule="auto"/>
              <w:jc w:val="center"/>
              <w:rPr>
                <w:rFonts w:hint="default" w:ascii="Times New Roman" w:hAnsi="Times New Roman" w:cs="Times New Roman"/>
                <w:b/>
                <w:bCs/>
                <w:sz w:val="24"/>
                <w:szCs w:val="24"/>
                <w:lang w:eastAsia="zh-CN"/>
              </w:rPr>
            </w:pPr>
            <w:r>
              <w:rPr>
                <w:rFonts w:hint="eastAsia" w:ascii="Times New Roman" w:hAnsi="Times New Roman" w:cs="Times New Roman"/>
                <w:b/>
                <w:bCs/>
                <w:sz w:val="24"/>
                <w:szCs w:val="24"/>
                <w:lang w:val="en-US" w:eastAsia="zh-CN"/>
              </w:rPr>
              <w:t>单位产值能耗</w:t>
            </w:r>
          </w:p>
        </w:tc>
        <w:tc>
          <w:tcPr>
            <w:tcW w:w="1249" w:type="pct"/>
            <w:tcBorders>
              <w:tl2br w:val="nil"/>
              <w:tr2bl w:val="nil"/>
            </w:tcBorders>
            <w:vAlign w:val="center"/>
          </w:tcPr>
          <w:p>
            <w:pPr>
              <w:spacing w:line="240" w:lineRule="auto"/>
              <w:jc w:val="center"/>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0.3685</w:t>
            </w:r>
            <w:r>
              <w:rPr>
                <w:rFonts w:hint="eastAsia" w:ascii="Times New Roman" w:hAnsi="Times New Roman" w:cs="Times New Roman"/>
                <w:sz w:val="24"/>
                <w:szCs w:val="24"/>
                <w:lang w:eastAsia="zh-CN"/>
              </w:rPr>
              <w:t>吨标准煤/万元</w:t>
            </w:r>
          </w:p>
        </w:tc>
        <w:tc>
          <w:tcPr>
            <w:tcW w:w="1249" w:type="pct"/>
            <w:tcBorders>
              <w:tl2br w:val="nil"/>
              <w:tr2bl w:val="nil"/>
            </w:tcBorders>
            <w:vAlign w:val="center"/>
          </w:tcPr>
          <w:p>
            <w:pPr>
              <w:spacing w:line="240" w:lineRule="auto"/>
              <w:jc w:val="center"/>
              <w:rPr>
                <w:rFonts w:hint="default" w:ascii="Times New Roman" w:hAnsi="Times New Roman" w:cs="Times New Roman"/>
                <w:sz w:val="24"/>
                <w:szCs w:val="24"/>
                <w:lang w:eastAsia="zh-CN"/>
              </w:rPr>
            </w:pPr>
            <w:r>
              <w:rPr>
                <w:rFonts w:hint="eastAsia" w:ascii="Times New Roman" w:hAnsi="Times New Roman" w:cs="Times New Roman"/>
                <w:b/>
                <w:bCs/>
                <w:sz w:val="24"/>
                <w:szCs w:val="24"/>
                <w:lang w:val="en-US" w:eastAsia="zh-CN"/>
              </w:rPr>
              <w:t>单位产品能耗</w:t>
            </w:r>
          </w:p>
        </w:tc>
        <w:tc>
          <w:tcPr>
            <w:tcW w:w="1250" w:type="pct"/>
            <w:tcBorders>
              <w:tl2br w:val="nil"/>
              <w:tr2bl w:val="nil"/>
            </w:tcBorders>
            <w:vAlign w:val="center"/>
          </w:tcPr>
          <w:p>
            <w:pPr>
              <w:spacing w:line="24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0.0368吨标准煤/吨产品</w:t>
            </w:r>
          </w:p>
        </w:tc>
      </w:tr>
    </w:tbl>
    <w:p>
      <w:pPr>
        <w:pStyle w:val="5"/>
        <w:rPr>
          <w:rFonts w:hint="default"/>
          <w:lang w:val="en-US" w:eastAsia="zh-CN"/>
        </w:rPr>
      </w:pPr>
    </w:p>
    <w:p>
      <w:pPr>
        <w:wordWrap w:val="0"/>
        <w:spacing w:line="360" w:lineRule="auto"/>
        <w:ind w:firstLine="480" w:firstLineChars="200"/>
        <w:jc w:val="right"/>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                           淄博圣坤耐火材料有限公司        </w:t>
      </w:r>
    </w:p>
    <w:p>
      <w:pPr>
        <w:spacing w:line="360" w:lineRule="auto"/>
        <w:ind w:firstLine="5040" w:firstLineChars="21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2023年</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val="en-US" w:eastAsia="zh-CN"/>
        </w:rPr>
        <w:t>月</w:t>
      </w:r>
      <w:r>
        <w:rPr>
          <w:rFonts w:hint="eastAsia" w:ascii="Times New Roman" w:hAnsi="Times New Roman" w:cs="Times New Roman"/>
          <w:color w:val="auto"/>
          <w:sz w:val="24"/>
          <w:szCs w:val="24"/>
          <w:lang w:val="en-US" w:eastAsia="zh-CN"/>
        </w:rPr>
        <w:t>28</w:t>
      </w:r>
      <w:r>
        <w:rPr>
          <w:rFonts w:hint="default" w:ascii="Times New Roman" w:hAnsi="Times New Roman" w:cs="Times New Roman"/>
          <w:color w:val="auto"/>
          <w:sz w:val="24"/>
          <w:szCs w:val="24"/>
          <w:lang w:val="en-US" w:eastAsia="zh-CN"/>
        </w:rPr>
        <w:t>日</w:t>
      </w:r>
    </w:p>
    <w:p>
      <w:pPr>
        <w:spacing w:line="360" w:lineRule="auto"/>
        <w:jc w:val="center"/>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eastAsia="zh-CN"/>
        </w:rPr>
      </w:pPr>
    </w:p>
    <w:p>
      <w:pPr>
        <w:spacing w:line="360" w:lineRule="auto"/>
        <w:rPr>
          <w:rFonts w:hint="default" w:ascii="Times New Roman" w:hAnsi="Times New Roman" w:cs="Times New Roman"/>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1Nzc0ZjNkNTU0Yjc0MjllZTFlY2FhMTMxYzhhNmUifQ=="/>
  </w:docVars>
  <w:rsids>
    <w:rsidRoot w:val="242456D1"/>
    <w:rsid w:val="242456D1"/>
    <w:rsid w:val="6A461235"/>
    <w:rsid w:val="6C983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line="240" w:lineRule="auto"/>
      <w:ind w:left="420" w:leftChars="200" w:firstLine="420" w:firstLineChars="200"/>
    </w:pPr>
    <w:rPr>
      <w:rFonts w:eastAsia="仿宋_GB2312"/>
      <w:snapToGrid w:val="0"/>
      <w:color w:val="000000"/>
      <w:kern w:val="0"/>
      <w:sz w:val="28"/>
      <w:szCs w:val="20"/>
    </w:rPr>
  </w:style>
  <w:style w:type="paragraph" w:styleId="3">
    <w:name w:val="Body Text Indent"/>
    <w:basedOn w:val="1"/>
    <w:next w:val="4"/>
    <w:qFormat/>
    <w:uiPriority w:val="0"/>
    <w:pPr>
      <w:spacing w:line="360" w:lineRule="auto"/>
      <w:ind w:firstLine="600" w:firstLineChars="250"/>
    </w:pPr>
    <w:rPr>
      <w:color w:val="FF0000"/>
      <w:sz w:val="24"/>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5">
    <w:name w:val="Normal Indent"/>
    <w:basedOn w:val="1"/>
    <w:qFormat/>
    <w:uiPriority w:val="0"/>
    <w:pPr>
      <w:widowControl/>
      <w:adjustRightInd w:val="0"/>
      <w:snapToGrid w:val="0"/>
      <w:spacing w:before="100" w:beforeAutospacing="1" w:after="200"/>
      <w:ind w:firstLine="420" w:firstLineChars="200"/>
      <w:jc w:val="left"/>
    </w:pPr>
    <w:rPr>
      <w:rFonts w:eastAsia="微软雅黑"/>
      <w:kern w:val="0"/>
      <w:sz w:val="22"/>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customStyle="1" w:styleId="11">
    <w:name w:val="fontstyle01"/>
    <w:basedOn w:val="9"/>
    <w:qFormat/>
    <w:uiPriority w:val="0"/>
    <w:rPr>
      <w:rFonts w:ascii="仿宋_GB2312" w:hAnsi="仿宋_GB2312" w:eastAsia="仿宋_GB2312" w:cs="仿宋_GB2312"/>
      <w:color w:val="000000"/>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799</Words>
  <Characters>943</Characters>
  <Lines>0</Lines>
  <Paragraphs>0</Paragraphs>
  <TotalTime>2</TotalTime>
  <ScaleCrop>false</ScaleCrop>
  <LinksUpToDate>false</LinksUpToDate>
  <CharactersWithSpaces>1048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2023-04-27T01:40:00Z</dcterms:created>
  <dc:creator>安</dc:creator>
  <cp:lastModifiedBy>G.Gx</cp:lastModifiedBy>
  <dcterms:modified xsi:type="dcterms:W3CDTF">2023-04-27T08:01:13Z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64A19E52E2D4418083E616607EC7BB43_11</vt:lpwstr>
  </property>
</Properties>
</file>