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eastAsia="方正小标宋简体"/>
          <w:kern w:val="0"/>
          <w:sz w:val="52"/>
          <w:szCs w:val="52"/>
        </w:rPr>
      </w:pPr>
      <w:r>
        <w:rPr>
          <w:rFonts w:hint="eastAsia" w:eastAsia="方正小标宋简体"/>
          <w:kern w:val="0"/>
          <w:sz w:val="52"/>
          <w:szCs w:val="52"/>
          <w:lang w:eastAsia="zh-CN"/>
        </w:rPr>
        <w:t>周村区地方金融监督管理局</w:t>
      </w:r>
      <w:r>
        <w:rPr>
          <w:rFonts w:eastAsia="方正小标宋简体"/>
          <w:kern w:val="0"/>
          <w:sz w:val="52"/>
          <w:szCs w:val="52"/>
        </w:rPr>
        <w:t>政务公开事项标准目录</w:t>
      </w:r>
    </w:p>
    <w:p>
      <w:pPr>
        <w:spacing w:line="740" w:lineRule="exact"/>
        <w:jc w:val="center"/>
        <w:rPr>
          <w:rFonts w:eastAsia="方正小标宋简体"/>
          <w:kern w:val="0"/>
          <w:sz w:val="52"/>
          <w:szCs w:val="52"/>
        </w:rPr>
      </w:pPr>
    </w:p>
    <w:p>
      <w:pPr>
        <w:spacing w:line="340" w:lineRule="exact"/>
        <w:ind w:firstLine="560" w:firstLineChars="200"/>
        <w:jc w:val="left"/>
        <w:rPr>
          <w:rFonts w:eastAsia="楷体_GB2312"/>
          <w:kern w:val="0"/>
          <w:sz w:val="28"/>
          <w:szCs w:val="40"/>
        </w:rPr>
      </w:pPr>
    </w:p>
    <w:tbl>
      <w:tblPr>
        <w:tblStyle w:val="5"/>
        <w:tblW w:w="14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6"/>
        <w:gridCol w:w="697"/>
        <w:gridCol w:w="571"/>
        <w:gridCol w:w="612"/>
        <w:gridCol w:w="2663"/>
        <w:gridCol w:w="2144"/>
        <w:gridCol w:w="1384"/>
        <w:gridCol w:w="1549"/>
        <w:gridCol w:w="1988"/>
        <w:gridCol w:w="668"/>
        <w:gridCol w:w="567"/>
        <w:gridCol w:w="56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restart"/>
            <w:vAlign w:val="center"/>
          </w:tcPr>
          <w:p>
            <w:pPr>
              <w:widowControl/>
              <w:spacing w:line="260" w:lineRule="exact"/>
              <w:jc w:val="center"/>
              <w:rPr>
                <w:rFonts w:eastAsia="黑体"/>
                <w:w w:val="90"/>
                <w:kern w:val="0"/>
                <w:szCs w:val="21"/>
              </w:rPr>
            </w:pPr>
            <w:r>
              <w:rPr>
                <w:rFonts w:eastAsia="黑体"/>
                <w:w w:val="90"/>
                <w:kern w:val="0"/>
                <w:szCs w:val="21"/>
              </w:rPr>
              <w:t>序号</w:t>
            </w:r>
          </w:p>
        </w:tc>
        <w:tc>
          <w:tcPr>
            <w:tcW w:w="697" w:type="dxa"/>
            <w:vMerge w:val="restart"/>
            <w:vAlign w:val="center"/>
          </w:tcPr>
          <w:p>
            <w:pPr>
              <w:widowControl/>
              <w:spacing w:line="260" w:lineRule="exact"/>
              <w:jc w:val="center"/>
              <w:rPr>
                <w:rFonts w:eastAsia="黑体"/>
                <w:w w:val="90"/>
                <w:kern w:val="0"/>
                <w:szCs w:val="21"/>
              </w:rPr>
            </w:pPr>
            <w:r>
              <w:rPr>
                <w:rFonts w:eastAsia="黑体"/>
                <w:w w:val="90"/>
                <w:kern w:val="0"/>
                <w:szCs w:val="21"/>
              </w:rPr>
              <w:t>过程</w:t>
            </w:r>
          </w:p>
        </w:tc>
        <w:tc>
          <w:tcPr>
            <w:tcW w:w="1183" w:type="dxa"/>
            <w:gridSpan w:val="2"/>
            <w:vAlign w:val="center"/>
          </w:tcPr>
          <w:p>
            <w:pPr>
              <w:widowControl/>
              <w:spacing w:line="260" w:lineRule="exact"/>
              <w:jc w:val="center"/>
              <w:rPr>
                <w:rFonts w:eastAsia="黑体"/>
                <w:w w:val="90"/>
                <w:kern w:val="0"/>
                <w:szCs w:val="21"/>
              </w:rPr>
            </w:pPr>
            <w:r>
              <w:rPr>
                <w:rFonts w:eastAsia="黑体"/>
                <w:w w:val="90"/>
                <w:kern w:val="0"/>
                <w:szCs w:val="21"/>
              </w:rPr>
              <w:t>公开事项</w:t>
            </w:r>
          </w:p>
        </w:tc>
        <w:tc>
          <w:tcPr>
            <w:tcW w:w="2663" w:type="dxa"/>
            <w:vMerge w:val="restart"/>
            <w:vAlign w:val="center"/>
          </w:tcPr>
          <w:p>
            <w:pPr>
              <w:spacing w:line="300" w:lineRule="exact"/>
              <w:jc w:val="center"/>
              <w:rPr>
                <w:rFonts w:eastAsia="黑体"/>
                <w:w w:val="90"/>
                <w:kern w:val="0"/>
                <w:szCs w:val="21"/>
              </w:rPr>
            </w:pPr>
            <w:r>
              <w:rPr>
                <w:rFonts w:eastAsia="黑体"/>
                <w:w w:val="90"/>
                <w:kern w:val="0"/>
                <w:szCs w:val="21"/>
              </w:rPr>
              <w:t>公开内容（要素）</w:t>
            </w:r>
          </w:p>
        </w:tc>
        <w:tc>
          <w:tcPr>
            <w:tcW w:w="214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公开依据</w:t>
            </w:r>
          </w:p>
        </w:tc>
        <w:tc>
          <w:tcPr>
            <w:tcW w:w="138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公开时限</w:t>
            </w:r>
          </w:p>
        </w:tc>
        <w:tc>
          <w:tcPr>
            <w:tcW w:w="1549"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公开主体</w:t>
            </w:r>
          </w:p>
        </w:tc>
        <w:tc>
          <w:tcPr>
            <w:tcW w:w="1988" w:type="dxa"/>
            <w:vMerge w:val="restart"/>
            <w:vAlign w:val="center"/>
          </w:tcPr>
          <w:p>
            <w:pPr>
              <w:widowControl/>
              <w:spacing w:line="280" w:lineRule="exact"/>
              <w:jc w:val="center"/>
              <w:rPr>
                <w:rFonts w:eastAsia="黑体"/>
                <w:w w:val="90"/>
                <w:kern w:val="0"/>
                <w:szCs w:val="21"/>
              </w:rPr>
            </w:pPr>
            <w:r>
              <w:rPr>
                <w:rFonts w:eastAsia="黑体"/>
                <w:w w:val="90"/>
                <w:kern w:val="0"/>
                <w:szCs w:val="21"/>
              </w:rPr>
              <w:t>公开渠道和载体</w:t>
            </w:r>
          </w:p>
        </w:tc>
        <w:tc>
          <w:tcPr>
            <w:tcW w:w="1235" w:type="dxa"/>
            <w:gridSpan w:val="2"/>
            <w:vAlign w:val="center"/>
          </w:tcPr>
          <w:p>
            <w:pPr>
              <w:widowControl/>
              <w:spacing w:line="280" w:lineRule="exact"/>
              <w:jc w:val="center"/>
              <w:rPr>
                <w:rFonts w:eastAsia="黑体"/>
                <w:w w:val="90"/>
                <w:kern w:val="0"/>
                <w:szCs w:val="21"/>
              </w:rPr>
            </w:pPr>
            <w:r>
              <w:rPr>
                <w:rFonts w:eastAsia="黑体"/>
                <w:w w:val="90"/>
                <w:kern w:val="0"/>
                <w:szCs w:val="21"/>
              </w:rPr>
              <w:t>公开对象</w:t>
            </w:r>
          </w:p>
        </w:tc>
        <w:tc>
          <w:tcPr>
            <w:tcW w:w="1323" w:type="dxa"/>
            <w:gridSpan w:val="2"/>
            <w:vAlign w:val="center"/>
          </w:tcPr>
          <w:p>
            <w:pPr>
              <w:widowControl/>
              <w:spacing w:line="280" w:lineRule="exact"/>
              <w:jc w:val="center"/>
              <w:rPr>
                <w:rFonts w:eastAsia="黑体"/>
                <w:w w:val="90"/>
                <w:kern w:val="0"/>
                <w:szCs w:val="21"/>
              </w:rPr>
            </w:pPr>
            <w:r>
              <w:rPr>
                <w:rFonts w:eastAsia="黑体"/>
                <w:w w:val="90"/>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continue"/>
            <w:vAlign w:val="center"/>
          </w:tcPr>
          <w:p>
            <w:pPr>
              <w:widowControl/>
              <w:spacing w:line="260" w:lineRule="exact"/>
              <w:jc w:val="center"/>
              <w:rPr>
                <w:rFonts w:eastAsia="黑体"/>
                <w:w w:val="90"/>
                <w:kern w:val="0"/>
                <w:szCs w:val="21"/>
              </w:rPr>
            </w:pPr>
          </w:p>
        </w:tc>
        <w:tc>
          <w:tcPr>
            <w:tcW w:w="697" w:type="dxa"/>
            <w:vMerge w:val="continue"/>
            <w:vAlign w:val="center"/>
          </w:tcPr>
          <w:p>
            <w:pPr>
              <w:widowControl/>
              <w:spacing w:line="260" w:lineRule="exact"/>
              <w:jc w:val="center"/>
              <w:rPr>
                <w:rFonts w:eastAsia="黑体"/>
                <w:w w:val="90"/>
                <w:kern w:val="0"/>
                <w:szCs w:val="21"/>
              </w:rPr>
            </w:pPr>
          </w:p>
        </w:tc>
        <w:tc>
          <w:tcPr>
            <w:tcW w:w="571" w:type="dxa"/>
            <w:vAlign w:val="center"/>
          </w:tcPr>
          <w:p>
            <w:pPr>
              <w:widowControl/>
              <w:spacing w:line="260" w:lineRule="exact"/>
              <w:jc w:val="center"/>
              <w:rPr>
                <w:rFonts w:eastAsia="黑体"/>
                <w:w w:val="90"/>
                <w:kern w:val="0"/>
                <w:szCs w:val="21"/>
              </w:rPr>
            </w:pPr>
            <w:r>
              <w:rPr>
                <w:rFonts w:eastAsia="黑体"/>
                <w:w w:val="90"/>
                <w:kern w:val="0"/>
                <w:szCs w:val="21"/>
              </w:rPr>
              <w:t>一级目录</w:t>
            </w:r>
          </w:p>
        </w:tc>
        <w:tc>
          <w:tcPr>
            <w:tcW w:w="612" w:type="dxa"/>
            <w:vAlign w:val="center"/>
          </w:tcPr>
          <w:p>
            <w:pPr>
              <w:widowControl/>
              <w:spacing w:line="260" w:lineRule="exact"/>
              <w:jc w:val="center"/>
              <w:rPr>
                <w:rFonts w:eastAsia="黑体"/>
                <w:w w:val="90"/>
                <w:kern w:val="0"/>
                <w:szCs w:val="21"/>
              </w:rPr>
            </w:pPr>
            <w:r>
              <w:rPr>
                <w:rFonts w:eastAsia="黑体"/>
                <w:w w:val="90"/>
                <w:kern w:val="0"/>
                <w:szCs w:val="21"/>
              </w:rPr>
              <w:t>二级目录</w:t>
            </w:r>
          </w:p>
        </w:tc>
        <w:tc>
          <w:tcPr>
            <w:tcW w:w="2663" w:type="dxa"/>
            <w:vMerge w:val="continue"/>
            <w:vAlign w:val="center"/>
          </w:tcPr>
          <w:p>
            <w:pPr>
              <w:widowControl/>
              <w:spacing w:line="300" w:lineRule="exact"/>
              <w:rPr>
                <w:rFonts w:eastAsia="黑体"/>
                <w:w w:val="90"/>
                <w:kern w:val="0"/>
                <w:szCs w:val="21"/>
              </w:rPr>
            </w:pPr>
          </w:p>
        </w:tc>
        <w:tc>
          <w:tcPr>
            <w:tcW w:w="2144" w:type="dxa"/>
            <w:vMerge w:val="continue"/>
            <w:vAlign w:val="center"/>
          </w:tcPr>
          <w:p>
            <w:pPr>
              <w:widowControl/>
              <w:spacing w:line="300" w:lineRule="exact"/>
              <w:jc w:val="center"/>
              <w:rPr>
                <w:rFonts w:eastAsia="黑体"/>
                <w:w w:val="90"/>
                <w:kern w:val="0"/>
                <w:szCs w:val="21"/>
              </w:rPr>
            </w:pPr>
          </w:p>
        </w:tc>
        <w:tc>
          <w:tcPr>
            <w:tcW w:w="1384" w:type="dxa"/>
            <w:vMerge w:val="continue"/>
            <w:vAlign w:val="center"/>
          </w:tcPr>
          <w:p>
            <w:pPr>
              <w:widowControl/>
              <w:spacing w:line="300" w:lineRule="exact"/>
              <w:jc w:val="center"/>
              <w:rPr>
                <w:rFonts w:eastAsia="黑体"/>
                <w:w w:val="90"/>
                <w:kern w:val="0"/>
                <w:szCs w:val="21"/>
              </w:rPr>
            </w:pPr>
          </w:p>
        </w:tc>
        <w:tc>
          <w:tcPr>
            <w:tcW w:w="1549" w:type="dxa"/>
            <w:vMerge w:val="continue"/>
            <w:vAlign w:val="center"/>
          </w:tcPr>
          <w:p>
            <w:pPr>
              <w:widowControl/>
              <w:spacing w:line="300" w:lineRule="exact"/>
              <w:jc w:val="center"/>
              <w:rPr>
                <w:rFonts w:eastAsia="黑体"/>
                <w:w w:val="90"/>
                <w:kern w:val="0"/>
                <w:szCs w:val="21"/>
              </w:rPr>
            </w:pPr>
          </w:p>
        </w:tc>
        <w:tc>
          <w:tcPr>
            <w:tcW w:w="1988" w:type="dxa"/>
            <w:vMerge w:val="continue"/>
            <w:vAlign w:val="center"/>
          </w:tcPr>
          <w:p>
            <w:pPr>
              <w:widowControl/>
              <w:spacing w:line="280" w:lineRule="exact"/>
              <w:jc w:val="center"/>
              <w:rPr>
                <w:rFonts w:eastAsia="黑体"/>
                <w:w w:val="90"/>
                <w:kern w:val="0"/>
                <w:szCs w:val="21"/>
              </w:rPr>
            </w:pPr>
          </w:p>
        </w:tc>
        <w:tc>
          <w:tcPr>
            <w:tcW w:w="668" w:type="dxa"/>
            <w:vAlign w:val="center"/>
          </w:tcPr>
          <w:p>
            <w:pPr>
              <w:widowControl/>
              <w:spacing w:line="240" w:lineRule="exact"/>
              <w:jc w:val="center"/>
              <w:rPr>
                <w:rFonts w:eastAsia="黑体"/>
                <w:w w:val="90"/>
                <w:kern w:val="0"/>
                <w:szCs w:val="21"/>
              </w:rPr>
            </w:pPr>
            <w:r>
              <w:rPr>
                <w:rFonts w:eastAsia="黑体"/>
                <w:w w:val="90"/>
                <w:kern w:val="0"/>
                <w:szCs w:val="21"/>
              </w:rPr>
              <w:t>全社会</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特定群众</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主动</w:t>
            </w:r>
          </w:p>
        </w:tc>
        <w:tc>
          <w:tcPr>
            <w:tcW w:w="756" w:type="dxa"/>
            <w:vAlign w:val="center"/>
          </w:tcPr>
          <w:p>
            <w:pPr>
              <w:widowControl/>
              <w:spacing w:line="240" w:lineRule="exact"/>
              <w:jc w:val="center"/>
              <w:rPr>
                <w:rFonts w:eastAsia="黑体"/>
                <w:w w:val="90"/>
                <w:kern w:val="0"/>
                <w:szCs w:val="21"/>
              </w:rPr>
            </w:pPr>
            <w:r>
              <w:rPr>
                <w:rFonts w:eastAsia="黑体"/>
                <w:w w:val="90"/>
                <w:kern w:val="0"/>
                <w:szCs w:val="21"/>
              </w:rPr>
              <w:t>依申</w:t>
            </w:r>
          </w:p>
          <w:p>
            <w:pPr>
              <w:widowControl/>
              <w:spacing w:line="240" w:lineRule="exact"/>
              <w:jc w:val="center"/>
              <w:rPr>
                <w:rFonts w:eastAsia="黑体"/>
                <w:w w:val="90"/>
                <w:kern w:val="0"/>
                <w:szCs w:val="21"/>
              </w:rPr>
            </w:pPr>
            <w:r>
              <w:rPr>
                <w:rFonts w:eastAsia="黑体"/>
                <w:w w:val="90"/>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4"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政策法规</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部门文件</w:t>
            </w:r>
            <w:r>
              <w:rPr>
                <w:rFonts w:eastAsia="仿宋_GB2312"/>
                <w:w w:val="90"/>
                <w:kern w:val="0"/>
                <w:szCs w:val="21"/>
              </w:rPr>
              <w:br w:type="textWrapping"/>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本部门印发的规范性文件，本部门印发的除规范性文件以外的其他可以全文公开的文件。</w:t>
            </w:r>
          </w:p>
        </w:tc>
        <w:tc>
          <w:tcPr>
            <w:tcW w:w="2144" w:type="dxa"/>
            <w:vAlign w:val="center"/>
          </w:tcPr>
          <w:p>
            <w:pPr>
              <w:widowControl/>
              <w:spacing w:line="26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260" w:lineRule="exact"/>
              <w:rPr>
                <w:rFonts w:hint="eastAsia" w:eastAsia="仿宋_GB2312"/>
                <w:w w:val="90"/>
                <w:kern w:val="0"/>
                <w:szCs w:val="21"/>
                <w:lang w:eastAsia="zh-CN"/>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6"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规范性文件立改废</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规范性文件的公众参与、专家论证、风险评估、集体讨论等程序开展情况；规范性文件备案信息、规范性文件清理结果、废止类规范性文件目录。</w:t>
            </w:r>
          </w:p>
        </w:tc>
        <w:tc>
          <w:tcPr>
            <w:tcW w:w="2144" w:type="dxa"/>
            <w:vAlign w:val="center"/>
          </w:tcPr>
          <w:p>
            <w:pPr>
              <w:widowControl/>
              <w:spacing w:line="240" w:lineRule="exact"/>
              <w:rPr>
                <w:rFonts w:eastAsia="仿宋_GB2312"/>
                <w:bCs/>
                <w:spacing w:val="-6"/>
                <w:w w:val="90"/>
                <w:kern w:val="0"/>
                <w:szCs w:val="21"/>
              </w:rPr>
            </w:pPr>
            <w:r>
              <w:rPr>
                <w:rFonts w:eastAsia="仿宋_GB2312"/>
                <w:bCs/>
                <w:spacing w:val="-6"/>
                <w:w w:val="90"/>
                <w:kern w:val="0"/>
                <w:szCs w:val="21"/>
              </w:rPr>
              <w:t>《重大行政决策程序暂行条例》（国务院令第713号）；</w:t>
            </w:r>
          </w:p>
          <w:p>
            <w:pPr>
              <w:widowControl/>
              <w:spacing w:line="240" w:lineRule="exact"/>
              <w:rPr>
                <w:rFonts w:eastAsia="仿宋_GB2312"/>
                <w:spacing w:val="-6"/>
                <w:w w:val="90"/>
                <w:kern w:val="0"/>
                <w:szCs w:val="21"/>
              </w:rPr>
            </w:pPr>
            <w:r>
              <w:rPr>
                <w:rFonts w:eastAsia="仿宋_GB2312"/>
                <w:bCs/>
                <w:spacing w:val="-6"/>
                <w:w w:val="90"/>
                <w:kern w:val="0"/>
                <w:szCs w:val="21"/>
              </w:rPr>
              <w:t>《国务院办公厅关于加强行政规范性文件制定和监督管理工作的通知》（国办发〔2018〕37号）；</w:t>
            </w:r>
          </w:p>
          <w:p>
            <w:pPr>
              <w:widowControl/>
              <w:spacing w:line="240" w:lineRule="exact"/>
              <w:rPr>
                <w:rFonts w:eastAsia="仿宋_GB2312"/>
                <w:spacing w:val="-6"/>
                <w:w w:val="90"/>
                <w:kern w:val="0"/>
                <w:szCs w:val="21"/>
              </w:rPr>
            </w:pPr>
            <w:r>
              <w:rPr>
                <w:rFonts w:eastAsia="仿宋_GB2312"/>
                <w:bCs/>
                <w:spacing w:val="-6"/>
                <w:w w:val="90"/>
                <w:kern w:val="0"/>
                <w:szCs w:val="21"/>
              </w:rPr>
              <w:t>《法规规章备案条例》（国务院令第337号）。</w:t>
            </w:r>
          </w:p>
        </w:tc>
        <w:tc>
          <w:tcPr>
            <w:tcW w:w="1384" w:type="dxa"/>
            <w:vAlign w:val="center"/>
          </w:tcPr>
          <w:p>
            <w:pPr>
              <w:widowControl/>
              <w:spacing w:line="24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bookmarkStart w:id="5" w:name="_GoBack"/>
            <w:bookmarkEnd w:id="5"/>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0"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意见征集</w:t>
            </w:r>
          </w:p>
        </w:tc>
        <w:tc>
          <w:tcPr>
            <w:tcW w:w="2663" w:type="dxa"/>
            <w:vAlign w:val="center"/>
          </w:tcPr>
          <w:p>
            <w:pPr>
              <w:widowControl/>
              <w:spacing w:line="240" w:lineRule="exact"/>
              <w:rPr>
                <w:rFonts w:eastAsia="仿宋_GB2312"/>
                <w:w w:val="90"/>
                <w:kern w:val="0"/>
                <w:szCs w:val="21"/>
              </w:rPr>
            </w:pPr>
            <w:r>
              <w:rPr>
                <w:rFonts w:eastAsia="仿宋_GB2312"/>
                <w:bCs/>
                <w:w w:val="90"/>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144" w:type="dxa"/>
            <w:vAlign w:val="center"/>
          </w:tcPr>
          <w:p>
            <w:pPr>
              <w:widowControl/>
              <w:spacing w:line="26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60" w:lineRule="exact"/>
              <w:rPr>
                <w:rFonts w:eastAsia="仿宋_GB2312"/>
                <w:bCs/>
                <w:w w:val="90"/>
                <w:kern w:val="0"/>
                <w:szCs w:val="21"/>
              </w:rPr>
            </w:pP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意见反馈</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公布意见采纳情况及相对集中的意见未予采纳的原因。</w:t>
            </w:r>
          </w:p>
        </w:tc>
        <w:tc>
          <w:tcPr>
            <w:tcW w:w="2144" w:type="dxa"/>
            <w:vAlign w:val="center"/>
          </w:tcPr>
          <w:p>
            <w:pPr>
              <w:widowControl/>
              <w:spacing w:line="300" w:lineRule="exact"/>
              <w:jc w:val="left"/>
              <w:rPr>
                <w:rFonts w:eastAsia="仿宋_GB2312"/>
                <w:bCs/>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jc w:val="lef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规划计划</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本部门中长期发展规划、年度工作计划和工作总结。</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《中华人民共和国政府信息公开条例》（国务院令第492号）；</w:t>
            </w:r>
          </w:p>
          <w:p>
            <w:pPr>
              <w:widowControl/>
              <w:spacing w:line="300" w:lineRule="exact"/>
              <w:rPr>
                <w:rFonts w:eastAsia="仿宋_GB2312"/>
                <w:w w:val="90"/>
                <w:kern w:val="0"/>
                <w:szCs w:val="21"/>
              </w:rPr>
            </w:pPr>
            <w:r>
              <w:rPr>
                <w:rFonts w:eastAsia="仿宋_GB2312"/>
                <w:w w:val="90"/>
                <w:kern w:val="0"/>
                <w:szCs w:val="21"/>
              </w:rPr>
              <w:t>《国务院关于加强国民经济和社会发展规划编制工作的若干意见》（国发〔2005〕33号）。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0" w:name="_Hlk11998333"/>
            <w:bookmarkStart w:id="1" w:name="OLE_LINK7" w:colFirst="6" w:colLast="6"/>
            <w:bookmarkStart w:id="2" w:name="OLE_LINK8" w:colFirst="8" w:colLast="8"/>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执行和结果</w:t>
            </w: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决策部署落实情况</w:t>
            </w:r>
            <w:r>
              <w:rPr>
                <w:rFonts w:eastAsia="仿宋_GB2312"/>
                <w:bCs/>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重大决策、重要政策、政府工作报告、</w:t>
            </w:r>
            <w:r>
              <w:rPr>
                <w:rFonts w:eastAsia="仿宋_GB2312"/>
                <w:w w:val="90"/>
                <w:kern w:val="0"/>
                <w:szCs w:val="21"/>
              </w:rPr>
              <w:t>本部门年度重点工作任务</w:t>
            </w:r>
            <w:r>
              <w:rPr>
                <w:rFonts w:eastAsia="仿宋_GB2312"/>
                <w:bCs/>
                <w:w w:val="90"/>
                <w:kern w:val="0"/>
                <w:szCs w:val="21"/>
              </w:rPr>
              <w:t>的任务分解、执行和落实情况等信息。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建议提案</w:t>
            </w:r>
            <w:r>
              <w:rPr>
                <w:rFonts w:eastAsia="仿宋_GB2312"/>
                <w:w w:val="90"/>
                <w:kern w:val="0"/>
                <w:szCs w:val="21"/>
              </w:rPr>
              <w:br w:type="textWrapping"/>
            </w:r>
            <w:r>
              <w:rPr>
                <w:rFonts w:eastAsia="仿宋_GB2312"/>
                <w:w w:val="90"/>
                <w:kern w:val="0"/>
                <w:szCs w:val="21"/>
              </w:rPr>
              <w:t>办理</w:t>
            </w:r>
          </w:p>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人大代表建议办理</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人大代表建议办理答复。</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政协委员提案办理</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政协委员提案办理答复。</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r>
              <w:rPr>
                <w:rFonts w:eastAsia="仿宋_GB2312"/>
                <w:bCs/>
                <w:w w:val="90"/>
                <w:kern w:val="0"/>
                <w:szCs w:val="21"/>
              </w:rPr>
              <w:t>管理和服务</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机构领导</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领导分工、简历、办公联系方式、照片；</w:t>
            </w:r>
            <w:r>
              <w:rPr>
                <w:rFonts w:eastAsia="仿宋_GB2312"/>
                <w:w w:val="90"/>
                <w:kern w:val="0"/>
                <w:szCs w:val="21"/>
              </w:rPr>
              <w:t>领导活动相关信息。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机构设置</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机构简介</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机关职能、机构设置、办公地址、办公时间、联系方式等。</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内设机构及下属单位</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内设机构及下属单位设置、职能、办公地址、办公时间、联系方式、负责人姓名等。</w:t>
            </w:r>
          </w:p>
        </w:tc>
        <w:tc>
          <w:tcPr>
            <w:tcW w:w="2144" w:type="dxa"/>
            <w:vAlign w:val="center"/>
          </w:tcPr>
          <w:p>
            <w:pPr>
              <w:widowControl/>
              <w:spacing w:line="300" w:lineRule="exact"/>
              <w:jc w:val="lef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hint="eastAsia" w:eastAsia="仿宋_GB2312"/>
                <w:w w:val="90"/>
                <w:kern w:val="0"/>
                <w:szCs w:val="21"/>
                <w:lang w:eastAsia="zh-CN"/>
              </w:rPr>
            </w:pPr>
            <w:r>
              <w:rPr>
                <w:rFonts w:eastAsia="仿宋_GB2312"/>
                <w:w w:val="90"/>
                <w:kern w:val="0"/>
                <w:szCs w:val="21"/>
              </w:rPr>
              <w:t>财政</w:t>
            </w:r>
            <w:r>
              <w:rPr>
                <w:rFonts w:hint="eastAsia" w:eastAsia="仿宋_GB2312"/>
                <w:w w:val="90"/>
                <w:kern w:val="0"/>
                <w:szCs w:val="21"/>
                <w:lang w:eastAsia="zh-CN"/>
              </w:rPr>
              <w:t>信息</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本年度预算、报表及说明。</w:t>
            </w:r>
          </w:p>
        </w:tc>
        <w:tc>
          <w:tcPr>
            <w:tcW w:w="2144" w:type="dxa"/>
            <w:vAlign w:val="center"/>
          </w:tcPr>
          <w:p>
            <w:pPr>
              <w:widowControl/>
              <w:spacing w:line="26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p>
            <w:pPr>
              <w:widowControl/>
              <w:spacing w:line="260" w:lineRule="exac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上年度决算、报表及说明。</w:t>
            </w:r>
          </w:p>
        </w:tc>
        <w:tc>
          <w:tcPr>
            <w:tcW w:w="2144" w:type="dxa"/>
            <w:vAlign w:val="center"/>
          </w:tcPr>
          <w:p>
            <w:pPr>
              <w:widowControl/>
              <w:spacing w:line="300" w:lineRule="exact"/>
              <w:jc w:val="left"/>
              <w:rPr>
                <w:rFonts w:eastAsia="仿宋_GB2312"/>
                <w:bCs/>
                <w:spacing w:val="-8"/>
                <w:w w:val="90"/>
                <w:kern w:val="0"/>
                <w:szCs w:val="21"/>
              </w:rPr>
            </w:pPr>
            <w:r>
              <w:rPr>
                <w:rFonts w:eastAsia="仿宋_GB2312"/>
                <w:bCs/>
                <w:spacing w:val="-8"/>
                <w:w w:val="90"/>
                <w:kern w:val="0"/>
                <w:szCs w:val="21"/>
              </w:rPr>
              <w:t>《中华人民共和国预算法》；</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3"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Merge w:val="continue"/>
            <w:vAlign w:val="center"/>
          </w:tcPr>
          <w:p>
            <w:pPr>
              <w:widowControl/>
              <w:spacing w:line="300" w:lineRule="exact"/>
              <w:jc w:val="left"/>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本年度“三公”经费预算及说明，上年度“三公”经费决算及说明。</w:t>
            </w:r>
          </w:p>
        </w:tc>
        <w:tc>
          <w:tcPr>
            <w:tcW w:w="2144" w:type="dxa"/>
            <w:vAlign w:val="center"/>
          </w:tcPr>
          <w:p>
            <w:pPr>
              <w:widowControl/>
              <w:spacing w:line="30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县专项资金的制度文件。</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hint="eastAsia" w:eastAsia="仿宋_GB2312"/>
                <w:w w:val="90"/>
                <w:kern w:val="0"/>
                <w:szCs w:val="21"/>
                <w:lang w:eastAsia="zh-CN"/>
              </w:rPr>
            </w:pPr>
            <w:r>
              <w:rPr>
                <w:rFonts w:eastAsia="仿宋_GB2312"/>
                <w:w w:val="90"/>
                <w:kern w:val="0"/>
                <w:szCs w:val="21"/>
              </w:rPr>
              <w:t>财政</w:t>
            </w:r>
            <w:r>
              <w:rPr>
                <w:rFonts w:hint="eastAsia" w:eastAsia="仿宋_GB2312"/>
                <w:w w:val="90"/>
                <w:kern w:val="0"/>
                <w:szCs w:val="21"/>
                <w:lang w:eastAsia="zh-CN"/>
              </w:rPr>
              <w:t>信息</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财政专项资金管理和使用情况。</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《财政部关于推进基层财政专项支出预算公开的意见》（财预〔2011〕27号）；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及时公开。</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部门项目</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公开项目实施主体、预算安排、绩效目标、绩效自评结果、绩效评价报告等信息。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《国务院办公厅关于印发2019年政务公开工作要点的通知》（国办发〔2019〕14号）。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应急管理</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发布事故灾害类、社会安全事件类、自然灾害类和公共卫生事件类的应急预案、预警信息及应对情况等信息。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w:t>
            </w:r>
            <w:r>
              <w:rPr>
                <w:rFonts w:eastAsia="仿宋_GB2312"/>
                <w:spacing w:val="-10"/>
                <w:w w:val="90"/>
                <w:kern w:val="0"/>
                <w:szCs w:val="21"/>
              </w:rPr>
              <w:t>中华人民共和国突发事件应对法》（主席令第69号）；</w:t>
            </w:r>
          </w:p>
          <w:p>
            <w:pPr>
              <w:widowControl/>
              <w:spacing w:line="300" w:lineRule="exact"/>
              <w:rPr>
                <w:rFonts w:eastAsia="仿宋_GB2312"/>
                <w:w w:val="90"/>
                <w:kern w:val="0"/>
                <w:szCs w:val="21"/>
              </w:rPr>
            </w:pPr>
            <w:r>
              <w:rPr>
                <w:rFonts w:eastAsia="仿宋_GB2312"/>
                <w:w w:val="90"/>
                <w:kern w:val="0"/>
                <w:szCs w:val="21"/>
              </w:rPr>
              <w:t>《国务院办公厅关于印发突发事件应急预案管理办法的通知》（国办发〔2013〕101号）。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按照法定时间公开。</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权责清单和动态调整情况</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240" w:lineRule="exact"/>
              <w:rPr>
                <w:rFonts w:eastAsia="仿宋_GB2312"/>
                <w:w w:val="90"/>
                <w:kern w:val="0"/>
                <w:szCs w:val="21"/>
              </w:rPr>
            </w:pPr>
            <w:r>
              <w:rPr>
                <w:rFonts w:eastAsia="仿宋_GB2312"/>
                <w:w w:val="90"/>
                <w:kern w:val="0"/>
                <w:szCs w:val="21"/>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144" w:type="dxa"/>
            <w:vAlign w:val="center"/>
          </w:tcPr>
          <w:p>
            <w:pPr>
              <w:widowControl/>
              <w:spacing w:line="240" w:lineRule="exact"/>
              <w:rPr>
                <w:rFonts w:eastAsia="仿宋_GB2312"/>
                <w:spacing w:val="-8"/>
                <w:w w:val="90"/>
                <w:kern w:val="0"/>
                <w:szCs w:val="21"/>
              </w:rPr>
            </w:pPr>
            <w:r>
              <w:rPr>
                <w:rFonts w:eastAsia="仿宋_GB2312"/>
                <w:w w:val="90"/>
                <w:kern w:val="0"/>
                <w:szCs w:val="21"/>
              </w:rPr>
              <w:t>《中共中央办公厅国务院办公厅印发〈关于推行地方各级政府工作部门权力清单制</w:t>
            </w:r>
            <w:r>
              <w:rPr>
                <w:rFonts w:eastAsia="仿宋_GB2312"/>
                <w:spacing w:val="-8"/>
                <w:w w:val="90"/>
                <w:kern w:val="0"/>
                <w:szCs w:val="21"/>
              </w:rPr>
              <w:t>度的指导意见〉的通知》(中办发〔2015〕21号)；</w:t>
            </w:r>
          </w:p>
          <w:p>
            <w:pPr>
              <w:widowControl/>
              <w:spacing w:line="240" w:lineRule="exact"/>
              <w:rPr>
                <w:rFonts w:eastAsia="仿宋_GB2312"/>
                <w:w w:val="90"/>
                <w:kern w:val="0"/>
                <w:szCs w:val="21"/>
              </w:rPr>
            </w:pPr>
            <w:r>
              <w:rPr>
                <w:rFonts w:eastAsia="仿宋_GB2312"/>
                <w:bCs/>
                <w:spacing w:val="-8"/>
                <w:w w:val="90"/>
                <w:kern w:val="0"/>
                <w:szCs w:val="21"/>
              </w:rPr>
              <w:t>《国务院办公厅关于做好证明事项清理工作的通知》（国</w:t>
            </w:r>
            <w:r>
              <w:rPr>
                <w:rFonts w:eastAsia="仿宋_GB2312"/>
                <w:bCs/>
                <w:w w:val="90"/>
                <w:kern w:val="0"/>
                <w:szCs w:val="21"/>
              </w:rPr>
              <w:t>办发〔2018〕47号）。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4"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260" w:lineRule="exact"/>
              <w:jc w:val="center"/>
              <w:rPr>
                <w:rFonts w:eastAsia="仿宋_GB2312"/>
                <w:w w:val="90"/>
                <w:kern w:val="0"/>
                <w:szCs w:val="21"/>
              </w:rPr>
            </w:pPr>
            <w:r>
              <w:rPr>
                <w:rFonts w:eastAsia="仿宋_GB2312"/>
                <w:bCs/>
                <w:w w:val="90"/>
                <w:kern w:val="0"/>
                <w:szCs w:val="21"/>
              </w:rPr>
              <w:t>公共服务清单和中介服务清单</w:t>
            </w:r>
          </w:p>
        </w:tc>
        <w:tc>
          <w:tcPr>
            <w:tcW w:w="612" w:type="dxa"/>
            <w:vAlign w:val="center"/>
          </w:tcPr>
          <w:p>
            <w:pPr>
              <w:widowControl/>
              <w:spacing w:line="260" w:lineRule="exact"/>
              <w:jc w:val="center"/>
              <w:rPr>
                <w:rFonts w:eastAsia="仿宋_GB2312"/>
                <w:w w:val="90"/>
                <w:kern w:val="0"/>
                <w:szCs w:val="21"/>
              </w:rPr>
            </w:pP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公共服务清单，包括办事名称、办理依据、实施机构、事项类别等信息；行政审批中介服务事项目录清单，包括中介服务事项名称、涉及的审批事项项目名称、审批部门、中介服务设定依据、收费类型及依据、处理决定等信息。</w:t>
            </w:r>
          </w:p>
        </w:tc>
        <w:tc>
          <w:tcPr>
            <w:tcW w:w="2144" w:type="dxa"/>
            <w:vAlign w:val="center"/>
          </w:tcPr>
          <w:p>
            <w:pPr>
              <w:widowControl/>
              <w:spacing w:line="320" w:lineRule="exact"/>
              <w:rPr>
                <w:rFonts w:eastAsia="仿宋_GB2312"/>
                <w:w w:val="90"/>
                <w:kern w:val="0"/>
                <w:szCs w:val="21"/>
              </w:rPr>
            </w:pPr>
            <w:r>
              <w:rPr>
                <w:rFonts w:eastAsia="仿宋_GB2312"/>
                <w:w w:val="90"/>
                <w:kern w:val="0"/>
                <w:szCs w:val="21"/>
              </w:rPr>
              <w:t>《国务院办公厅关于简化优化公共服务流程方便基层群众办事创业的通知》（国办发〔2015〕86号）。</w:t>
            </w:r>
          </w:p>
          <w:p>
            <w:pPr>
              <w:widowControl/>
              <w:spacing w:line="320" w:lineRule="exact"/>
              <w:rPr>
                <w:rFonts w:eastAsia="仿宋_GB2312"/>
                <w:w w:val="90"/>
                <w:kern w:val="0"/>
                <w:szCs w:val="21"/>
              </w:rPr>
            </w:pPr>
          </w:p>
        </w:tc>
        <w:tc>
          <w:tcPr>
            <w:tcW w:w="1384" w:type="dxa"/>
            <w:vAlign w:val="center"/>
          </w:tcPr>
          <w:p>
            <w:pPr>
              <w:widowControl/>
              <w:spacing w:line="32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2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3" w:name="OLE_LINK6" w:colFirst="2" w:colLast="2"/>
            <w:bookmarkStart w:id="4" w:name="_Hlk11949435"/>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w:t>
            </w:r>
          </w:p>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行政权力运行结果</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作出行政处罚决定之日起7个工作日内。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color w:val="FF0000"/>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continue"/>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hint="eastAsia" w:eastAsia="仿宋_GB2312"/>
                <w:w w:val="90"/>
                <w:kern w:val="0"/>
                <w:szCs w:val="21"/>
              </w:rPr>
              <w:t>其他权力结果信息。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w:t>
            </w:r>
            <w:r>
              <w:rPr>
                <w:rFonts w:hint="eastAsia" w:eastAsia="仿宋_GB2312"/>
                <w:w w:val="90"/>
                <w:kern w:val="0"/>
                <w:szCs w:val="21"/>
              </w:rPr>
              <w:t>20</w:t>
            </w:r>
            <w:r>
              <w:rPr>
                <w:rFonts w:eastAsia="仿宋_GB2312"/>
                <w:w w:val="90"/>
                <w:kern w:val="0"/>
                <w:szCs w:val="21"/>
              </w:rPr>
              <w:t>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color w:val="000000" w:themeColor="text1"/>
                <w:w w:val="90"/>
                <w:kern w:val="0"/>
                <w:szCs w:val="21"/>
                <w14:textFill>
                  <w14:solidFill>
                    <w14:schemeClr w14:val="tx1"/>
                  </w14:solidFill>
                </w14:textFill>
              </w:rPr>
              <w:t>行政权力</w:t>
            </w:r>
            <w:r>
              <w:rPr>
                <w:rFonts w:eastAsia="仿宋_GB2312"/>
                <w:color w:val="000000" w:themeColor="text1"/>
                <w:w w:val="90"/>
                <w:kern w:val="0"/>
                <w:szCs w:val="21"/>
                <w14:textFill>
                  <w14:solidFill>
                    <w14:schemeClr w14:val="tx1"/>
                  </w14:solidFill>
                </w14:textFill>
              </w:rPr>
              <w:br w:type="textWrapping"/>
            </w:r>
            <w:r>
              <w:rPr>
                <w:rFonts w:eastAsia="仿宋_GB2312"/>
                <w:color w:val="000000" w:themeColor="text1"/>
                <w:w w:val="90"/>
                <w:kern w:val="0"/>
                <w:szCs w:val="21"/>
                <w14:textFill>
                  <w14:solidFill>
                    <w14:schemeClr w14:val="tx1"/>
                  </w14:solidFill>
                </w14:textFill>
              </w:rPr>
              <w:t>运行</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行政处罚公示</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行政处罚公示信息。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《国家发展改革委办公厅关于进一步完善行政许可和行政处罚等信用信息公示工作的指导意见》（发改办财金〔2018〕424号）。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作出行政许可、行政处罚决定之日起7个工作日内。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行政执法公示</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公开行政执法职责、执法依据、执法程序、监督途径和执法结果等信息。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《国务院办公厅关于全面推行行政执法公示制度执法全过程记录制度》（国办发〔2018〕118号）。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9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“双随机一公开”</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监管过程中随机抽取检查对象、随机选派执法检查人员信息，抽查情况及查处结果信息（涉及的部门添加此栏目）。</w:t>
            </w:r>
          </w:p>
        </w:tc>
        <w:tc>
          <w:tcPr>
            <w:tcW w:w="2144" w:type="dxa"/>
            <w:vAlign w:val="center"/>
          </w:tcPr>
          <w:p>
            <w:pPr>
              <w:widowControl/>
              <w:spacing w:line="320" w:lineRule="exact"/>
              <w:rPr>
                <w:rFonts w:eastAsia="仿宋_GB2312"/>
                <w:w w:val="90"/>
                <w:kern w:val="0"/>
                <w:szCs w:val="21"/>
              </w:rPr>
            </w:pPr>
            <w:r>
              <w:rPr>
                <w:rFonts w:eastAsia="仿宋_GB2312"/>
                <w:bCs/>
                <w:w w:val="90"/>
                <w:kern w:val="0"/>
                <w:szCs w:val="21"/>
              </w:rPr>
              <w:t>《国务院办公厅关于推广随机抽查规范事中事后监管的通知》（国办发〔2015〕58号）；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检查及查处结果作出之日起的7个工作日内。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招标采购</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公开招标公示、招标采购预算及中标候选人公告，成交情况及实施情况等信息。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《中华人民共和国信息公开条例》（国务院令第492号）；</w:t>
            </w:r>
          </w:p>
          <w:p>
            <w:pPr>
              <w:widowControl/>
              <w:spacing w:line="300" w:lineRule="exact"/>
              <w:rPr>
                <w:rFonts w:eastAsia="仿宋_GB2312"/>
                <w:w w:val="90"/>
                <w:kern w:val="0"/>
                <w:szCs w:val="21"/>
              </w:rPr>
            </w:pPr>
            <w:r>
              <w:rPr>
                <w:rFonts w:eastAsia="仿宋_GB2312"/>
                <w:w w:val="90"/>
                <w:kern w:val="0"/>
                <w:szCs w:val="21"/>
              </w:rPr>
              <w:t>《中华人民共和国招标投标法实施条例》（国务院令第698号）。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按照规定及时公开。</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p>
          <w:p>
            <w:pPr>
              <w:widowControl/>
              <w:spacing w:line="300" w:lineRule="exact"/>
              <w:jc w:val="center"/>
              <w:rPr>
                <w:rFonts w:eastAsia="仿宋_GB2312"/>
                <w:w w:val="90"/>
                <w:kern w:val="0"/>
                <w:szCs w:val="21"/>
              </w:rPr>
            </w:pPr>
            <w:r>
              <w:rPr>
                <w:rFonts w:eastAsia="仿宋_GB2312"/>
                <w:w w:val="90"/>
                <w:kern w:val="0"/>
                <w:szCs w:val="21"/>
              </w:rPr>
              <w:t>解读</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r>
              <w:rPr>
                <w:rFonts w:eastAsia="仿宋_GB2312"/>
                <w:w w:val="90"/>
                <w:kern w:val="0"/>
                <w:szCs w:val="21"/>
              </w:rPr>
              <w:br w:type="textWrapping"/>
            </w:r>
            <w:r>
              <w:rPr>
                <w:rFonts w:eastAsia="仿宋_GB2312"/>
                <w:w w:val="90"/>
                <w:kern w:val="0"/>
                <w:szCs w:val="21"/>
              </w:rPr>
              <w:t>解读</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上级政策</w:t>
            </w:r>
            <w:r>
              <w:rPr>
                <w:rFonts w:eastAsia="仿宋_GB2312"/>
                <w:w w:val="90"/>
                <w:kern w:val="0"/>
                <w:szCs w:val="21"/>
              </w:rPr>
              <w:br w:type="textWrapping"/>
            </w:r>
            <w:r>
              <w:rPr>
                <w:rFonts w:eastAsia="仿宋_GB2312"/>
                <w:w w:val="90"/>
                <w:kern w:val="0"/>
                <w:szCs w:val="21"/>
              </w:rPr>
              <w:t>解读</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转发国家和省、市、县（市、区）等上级机关或者专家、学者关于法律法规规章及上级重要政策措施的解读。</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负责人解读</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部门负责人通过参加新闻发布会、发表署名文章或接受媒体采访等形式就相关政策进行解读。</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部门解读</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1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r>
              <w:rPr>
                <w:rFonts w:eastAsia="仿宋_GB2312"/>
                <w:w w:val="90"/>
                <w:kern w:val="0"/>
                <w:szCs w:val="21"/>
              </w:rPr>
              <w:br w:type="textWrapping"/>
            </w: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公开制度</w:t>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专项工作</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发布基层政务公开标准化规范化试点成果巩固推广、贯彻落实政府信息公开条例等信息。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工作推进</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政务公开工作开展、督查调度、工作交流、简报等信息。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1549"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周村区地方金融监督管理局</w:t>
            </w:r>
          </w:p>
        </w:tc>
        <w:tc>
          <w:tcPr>
            <w:tcW w:w="1988"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bl>
    <w:p>
      <w:pPr>
        <w:rPr>
          <w:rFonts w:eastAsia="黑体"/>
          <w:sz w:val="32"/>
          <w:szCs w:val="32"/>
        </w:rPr>
      </w:pPr>
    </w:p>
    <w:sectPr>
      <w:footerReference r:id="rId3" w:type="default"/>
      <w:footerReference r:id="rId4" w:type="even"/>
      <w:pgSz w:w="16838" w:h="11906" w:orient="landscape"/>
      <w:pgMar w:top="1588" w:right="1985" w:bottom="1588" w:left="170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9z4b0gAAAAMBAAAPAAAAAAAAAAEAIAAAACIAAABkcnMvZG93bnJldi54bWxQ&#10;SwECFAAUAAAACACHTuJAMJb//jYCAABhBAAADgAAAAAAAAABACAAAAAhAQAAZHJzL2Uyb0RvYy54&#10;bWxQSwUGAAAAAAYABgBZAQAAyQ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08"/>
        <w:tab w:val="left" w:pos="5637"/>
        <w:tab w:val="clear" w:pos="4153"/>
        <w:tab w:val="clear" w:pos="8306"/>
      </w:tabs>
    </w:pPr>
    <w:r>
      <w:rPr>
        <w:rFonts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ziEn0QAAAAMBAAAPAAAAAAAAAAEAIAAAACIAAABkcnMvZG93bnJldi54bWxQSwEC&#10;FAAUAAAACACHTuJAPwNptfsBAAACBAAADgAAAAAAAAABACAAAAAgAQAAZHJzL2Uyb0RvYy54bWxQ&#10;SwUGAAAAAAYABgBZAQAAjQ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ascii="宋体" w:hAnsi="宋体" w:cs="宋体"/>
        <w:sz w:val="28"/>
        <w:szCs w:val="28"/>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7AE8B"/>
    <w:multiLevelType w:val="singleLevel"/>
    <w:tmpl w:val="F5A7AE8B"/>
    <w:lvl w:ilvl="0" w:tentative="0">
      <w:start w:val="1"/>
      <w:numFmt w:val="decimal"/>
      <w:lvlText w:val="%1"/>
      <w:lvlJc w:val="center"/>
      <w:pPr>
        <w:tabs>
          <w:tab w:val="left" w:pos="845"/>
        </w:tabs>
        <w:ind w:left="850" w:hanging="711"/>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836B94"/>
    <w:rsid w:val="00020FE8"/>
    <w:rsid w:val="000339D8"/>
    <w:rsid w:val="00041FB0"/>
    <w:rsid w:val="0006503D"/>
    <w:rsid w:val="0013222D"/>
    <w:rsid w:val="00174A88"/>
    <w:rsid w:val="001A33E2"/>
    <w:rsid w:val="003A77D6"/>
    <w:rsid w:val="004D4619"/>
    <w:rsid w:val="00552648"/>
    <w:rsid w:val="005F15C3"/>
    <w:rsid w:val="00690298"/>
    <w:rsid w:val="007E45E6"/>
    <w:rsid w:val="00862F33"/>
    <w:rsid w:val="008D5937"/>
    <w:rsid w:val="00A11747"/>
    <w:rsid w:val="00A706BE"/>
    <w:rsid w:val="00B4505A"/>
    <w:rsid w:val="00BB6B1C"/>
    <w:rsid w:val="00C35BB2"/>
    <w:rsid w:val="00C56B7A"/>
    <w:rsid w:val="00C751E0"/>
    <w:rsid w:val="00DC0CA3"/>
    <w:rsid w:val="0129783A"/>
    <w:rsid w:val="01350665"/>
    <w:rsid w:val="015B0A4A"/>
    <w:rsid w:val="018C1B64"/>
    <w:rsid w:val="018C6907"/>
    <w:rsid w:val="01F020DE"/>
    <w:rsid w:val="020E0B2D"/>
    <w:rsid w:val="02277B1E"/>
    <w:rsid w:val="02795EC4"/>
    <w:rsid w:val="02BE55D6"/>
    <w:rsid w:val="02DD763E"/>
    <w:rsid w:val="02FF42A6"/>
    <w:rsid w:val="0339051E"/>
    <w:rsid w:val="03982364"/>
    <w:rsid w:val="043E5800"/>
    <w:rsid w:val="04977E48"/>
    <w:rsid w:val="049872CD"/>
    <w:rsid w:val="04BD0BE6"/>
    <w:rsid w:val="04EC051E"/>
    <w:rsid w:val="04F35DC4"/>
    <w:rsid w:val="05143B12"/>
    <w:rsid w:val="05582A12"/>
    <w:rsid w:val="05B5185E"/>
    <w:rsid w:val="05D72B6C"/>
    <w:rsid w:val="05E76D0C"/>
    <w:rsid w:val="063C50F8"/>
    <w:rsid w:val="066072D8"/>
    <w:rsid w:val="06631C30"/>
    <w:rsid w:val="067518AF"/>
    <w:rsid w:val="06D760CA"/>
    <w:rsid w:val="06FC5187"/>
    <w:rsid w:val="07450935"/>
    <w:rsid w:val="0755565E"/>
    <w:rsid w:val="07B615AA"/>
    <w:rsid w:val="08B33CFC"/>
    <w:rsid w:val="08CF094C"/>
    <w:rsid w:val="0952634F"/>
    <w:rsid w:val="09845327"/>
    <w:rsid w:val="09856A46"/>
    <w:rsid w:val="098E565A"/>
    <w:rsid w:val="0A197EA8"/>
    <w:rsid w:val="0A4F1812"/>
    <w:rsid w:val="0A761F60"/>
    <w:rsid w:val="0ABA35B8"/>
    <w:rsid w:val="0AEA72E6"/>
    <w:rsid w:val="0B7E2DD8"/>
    <w:rsid w:val="0B9D0E57"/>
    <w:rsid w:val="0C0600D8"/>
    <w:rsid w:val="0C080E98"/>
    <w:rsid w:val="0C191B19"/>
    <w:rsid w:val="0C4155E6"/>
    <w:rsid w:val="0C59303D"/>
    <w:rsid w:val="0CB72311"/>
    <w:rsid w:val="0D316517"/>
    <w:rsid w:val="0DD40656"/>
    <w:rsid w:val="0DE71183"/>
    <w:rsid w:val="0F332FC8"/>
    <w:rsid w:val="0FB034C1"/>
    <w:rsid w:val="10096969"/>
    <w:rsid w:val="10BC6A48"/>
    <w:rsid w:val="10CB7914"/>
    <w:rsid w:val="110A0E8F"/>
    <w:rsid w:val="110B118C"/>
    <w:rsid w:val="1124373A"/>
    <w:rsid w:val="11760B6F"/>
    <w:rsid w:val="11AA0FB9"/>
    <w:rsid w:val="12211083"/>
    <w:rsid w:val="123F30F4"/>
    <w:rsid w:val="126D0BFD"/>
    <w:rsid w:val="12A0329A"/>
    <w:rsid w:val="131D251A"/>
    <w:rsid w:val="136433C7"/>
    <w:rsid w:val="138F5CB8"/>
    <w:rsid w:val="13C01A36"/>
    <w:rsid w:val="13CF2DF5"/>
    <w:rsid w:val="140E6C6C"/>
    <w:rsid w:val="14296E68"/>
    <w:rsid w:val="145571C3"/>
    <w:rsid w:val="14A1010D"/>
    <w:rsid w:val="14D03190"/>
    <w:rsid w:val="150B1E11"/>
    <w:rsid w:val="15377CBD"/>
    <w:rsid w:val="15393CD8"/>
    <w:rsid w:val="156D27C5"/>
    <w:rsid w:val="160A4CB1"/>
    <w:rsid w:val="163B0BE9"/>
    <w:rsid w:val="16684E41"/>
    <w:rsid w:val="1672579E"/>
    <w:rsid w:val="16917636"/>
    <w:rsid w:val="16AF3359"/>
    <w:rsid w:val="16AF78F7"/>
    <w:rsid w:val="16FA3199"/>
    <w:rsid w:val="1734612F"/>
    <w:rsid w:val="173A05DB"/>
    <w:rsid w:val="176F1A7D"/>
    <w:rsid w:val="177D5DA3"/>
    <w:rsid w:val="179539D5"/>
    <w:rsid w:val="179D1BFF"/>
    <w:rsid w:val="17BA22A2"/>
    <w:rsid w:val="1823722A"/>
    <w:rsid w:val="18237B64"/>
    <w:rsid w:val="186B65AD"/>
    <w:rsid w:val="18D274FC"/>
    <w:rsid w:val="18F54BBF"/>
    <w:rsid w:val="1A4F2A6D"/>
    <w:rsid w:val="1AC22026"/>
    <w:rsid w:val="1B4D64CE"/>
    <w:rsid w:val="1C334011"/>
    <w:rsid w:val="1C4352E9"/>
    <w:rsid w:val="1CF41BD2"/>
    <w:rsid w:val="1D572CB2"/>
    <w:rsid w:val="1D6524FC"/>
    <w:rsid w:val="1DC1145F"/>
    <w:rsid w:val="1DDC2AD3"/>
    <w:rsid w:val="1E323D4B"/>
    <w:rsid w:val="1E354C5C"/>
    <w:rsid w:val="1E5B7056"/>
    <w:rsid w:val="1E7E4626"/>
    <w:rsid w:val="1ED20419"/>
    <w:rsid w:val="1F3F09BB"/>
    <w:rsid w:val="1F44149E"/>
    <w:rsid w:val="1F8724FA"/>
    <w:rsid w:val="1F8A46A9"/>
    <w:rsid w:val="1FA21C4F"/>
    <w:rsid w:val="208D41D6"/>
    <w:rsid w:val="208D5A49"/>
    <w:rsid w:val="20AE688D"/>
    <w:rsid w:val="21174B4A"/>
    <w:rsid w:val="211E5CC5"/>
    <w:rsid w:val="21727D5D"/>
    <w:rsid w:val="21812F5E"/>
    <w:rsid w:val="21C15D94"/>
    <w:rsid w:val="21C60B30"/>
    <w:rsid w:val="22262F61"/>
    <w:rsid w:val="2241183B"/>
    <w:rsid w:val="2247007D"/>
    <w:rsid w:val="226932DF"/>
    <w:rsid w:val="22716E40"/>
    <w:rsid w:val="227B6C77"/>
    <w:rsid w:val="22A06617"/>
    <w:rsid w:val="22AD7C96"/>
    <w:rsid w:val="23250EB9"/>
    <w:rsid w:val="233942EB"/>
    <w:rsid w:val="233C18DA"/>
    <w:rsid w:val="23723D1B"/>
    <w:rsid w:val="24250207"/>
    <w:rsid w:val="245864F7"/>
    <w:rsid w:val="25345F80"/>
    <w:rsid w:val="25855681"/>
    <w:rsid w:val="25CC3091"/>
    <w:rsid w:val="25DF5C9A"/>
    <w:rsid w:val="25FC350D"/>
    <w:rsid w:val="26B513ED"/>
    <w:rsid w:val="26DF12C9"/>
    <w:rsid w:val="27B34E5E"/>
    <w:rsid w:val="28025678"/>
    <w:rsid w:val="28475DF6"/>
    <w:rsid w:val="28866308"/>
    <w:rsid w:val="28AE63EA"/>
    <w:rsid w:val="28EF1EE4"/>
    <w:rsid w:val="294067C0"/>
    <w:rsid w:val="29CA66A5"/>
    <w:rsid w:val="29D40A6C"/>
    <w:rsid w:val="2A3D7D3F"/>
    <w:rsid w:val="2AA87530"/>
    <w:rsid w:val="2B0410C0"/>
    <w:rsid w:val="2B0B4A59"/>
    <w:rsid w:val="2B173E9E"/>
    <w:rsid w:val="2B2E3445"/>
    <w:rsid w:val="2B4A4001"/>
    <w:rsid w:val="2B5048A5"/>
    <w:rsid w:val="2BE26F35"/>
    <w:rsid w:val="2BF3436D"/>
    <w:rsid w:val="2CB020A9"/>
    <w:rsid w:val="2CB1729C"/>
    <w:rsid w:val="2D5D4609"/>
    <w:rsid w:val="2DD31139"/>
    <w:rsid w:val="2E09753A"/>
    <w:rsid w:val="2E163D53"/>
    <w:rsid w:val="2E3D2013"/>
    <w:rsid w:val="2F2D529A"/>
    <w:rsid w:val="2F861AF0"/>
    <w:rsid w:val="2FCD54EA"/>
    <w:rsid w:val="307932DE"/>
    <w:rsid w:val="308310ED"/>
    <w:rsid w:val="30952497"/>
    <w:rsid w:val="311A3E2C"/>
    <w:rsid w:val="31283A26"/>
    <w:rsid w:val="314F1428"/>
    <w:rsid w:val="31CA0AC5"/>
    <w:rsid w:val="31D25B5C"/>
    <w:rsid w:val="31E84C93"/>
    <w:rsid w:val="32147573"/>
    <w:rsid w:val="32836B94"/>
    <w:rsid w:val="328B636C"/>
    <w:rsid w:val="32FB30EE"/>
    <w:rsid w:val="32FF4259"/>
    <w:rsid w:val="340F69DA"/>
    <w:rsid w:val="34BD25FB"/>
    <w:rsid w:val="35152DF5"/>
    <w:rsid w:val="354F168A"/>
    <w:rsid w:val="35526025"/>
    <w:rsid w:val="358925CC"/>
    <w:rsid w:val="35D86B8D"/>
    <w:rsid w:val="37866C48"/>
    <w:rsid w:val="37B55261"/>
    <w:rsid w:val="380B7EBA"/>
    <w:rsid w:val="381C209E"/>
    <w:rsid w:val="3843699B"/>
    <w:rsid w:val="384C1F7D"/>
    <w:rsid w:val="387C56FF"/>
    <w:rsid w:val="396821FE"/>
    <w:rsid w:val="39692BEF"/>
    <w:rsid w:val="396A14E1"/>
    <w:rsid w:val="39A33F84"/>
    <w:rsid w:val="39FA400E"/>
    <w:rsid w:val="3A3D65EA"/>
    <w:rsid w:val="3A885842"/>
    <w:rsid w:val="3ABD3B4E"/>
    <w:rsid w:val="3ACB2499"/>
    <w:rsid w:val="3B354214"/>
    <w:rsid w:val="3B4E3912"/>
    <w:rsid w:val="3B564D73"/>
    <w:rsid w:val="3BC90AC3"/>
    <w:rsid w:val="3C683605"/>
    <w:rsid w:val="3CB16ABB"/>
    <w:rsid w:val="3D1413C8"/>
    <w:rsid w:val="3D897A53"/>
    <w:rsid w:val="3D8D7ADA"/>
    <w:rsid w:val="3DB74AAB"/>
    <w:rsid w:val="3DD60212"/>
    <w:rsid w:val="3E054D0C"/>
    <w:rsid w:val="3E1665BD"/>
    <w:rsid w:val="3E2B6768"/>
    <w:rsid w:val="3E5F046C"/>
    <w:rsid w:val="3E7C623F"/>
    <w:rsid w:val="3E7F36BF"/>
    <w:rsid w:val="3E8F64D1"/>
    <w:rsid w:val="3F2C401C"/>
    <w:rsid w:val="3F4E2D56"/>
    <w:rsid w:val="3FB52991"/>
    <w:rsid w:val="40154AB5"/>
    <w:rsid w:val="40AE05FF"/>
    <w:rsid w:val="41442A62"/>
    <w:rsid w:val="41D12BC9"/>
    <w:rsid w:val="41D87320"/>
    <w:rsid w:val="41EF37D3"/>
    <w:rsid w:val="42025970"/>
    <w:rsid w:val="42301F5A"/>
    <w:rsid w:val="425061ED"/>
    <w:rsid w:val="42DD716C"/>
    <w:rsid w:val="436A6C6A"/>
    <w:rsid w:val="4424763D"/>
    <w:rsid w:val="450274BF"/>
    <w:rsid w:val="456423A1"/>
    <w:rsid w:val="45855EC8"/>
    <w:rsid w:val="45E67F89"/>
    <w:rsid w:val="46B44F28"/>
    <w:rsid w:val="46F901C4"/>
    <w:rsid w:val="472A66D6"/>
    <w:rsid w:val="47382FAF"/>
    <w:rsid w:val="47553860"/>
    <w:rsid w:val="479F01E3"/>
    <w:rsid w:val="479F5121"/>
    <w:rsid w:val="48271E2A"/>
    <w:rsid w:val="48497BA8"/>
    <w:rsid w:val="48924470"/>
    <w:rsid w:val="48A75767"/>
    <w:rsid w:val="48EC19D6"/>
    <w:rsid w:val="49470CA9"/>
    <w:rsid w:val="49C33425"/>
    <w:rsid w:val="4A137806"/>
    <w:rsid w:val="4A1A25B6"/>
    <w:rsid w:val="4A211D3F"/>
    <w:rsid w:val="4A6C4A75"/>
    <w:rsid w:val="4A6F4165"/>
    <w:rsid w:val="4A7422B4"/>
    <w:rsid w:val="4A9D7D9F"/>
    <w:rsid w:val="4AA9093B"/>
    <w:rsid w:val="4AC95E4B"/>
    <w:rsid w:val="4ADD08D2"/>
    <w:rsid w:val="4B097DC3"/>
    <w:rsid w:val="4B1050BB"/>
    <w:rsid w:val="4B9649BA"/>
    <w:rsid w:val="4BA01C5B"/>
    <w:rsid w:val="4BE32170"/>
    <w:rsid w:val="4C66649A"/>
    <w:rsid w:val="4D2B1FA2"/>
    <w:rsid w:val="4E131700"/>
    <w:rsid w:val="4E1F24C4"/>
    <w:rsid w:val="4ED5279E"/>
    <w:rsid w:val="4EE07B40"/>
    <w:rsid w:val="4EF6274A"/>
    <w:rsid w:val="4F2A50F8"/>
    <w:rsid w:val="4FA82B8E"/>
    <w:rsid w:val="4FDC34BD"/>
    <w:rsid w:val="50447577"/>
    <w:rsid w:val="506518C1"/>
    <w:rsid w:val="507919E0"/>
    <w:rsid w:val="5097168B"/>
    <w:rsid w:val="50B60376"/>
    <w:rsid w:val="50C1522A"/>
    <w:rsid w:val="513F263C"/>
    <w:rsid w:val="524A2EA3"/>
    <w:rsid w:val="52C8331B"/>
    <w:rsid w:val="52D0520E"/>
    <w:rsid w:val="5302619F"/>
    <w:rsid w:val="53415F03"/>
    <w:rsid w:val="53450766"/>
    <w:rsid w:val="53A76A97"/>
    <w:rsid w:val="53BE0D3B"/>
    <w:rsid w:val="53CA6E0E"/>
    <w:rsid w:val="53CD0FF7"/>
    <w:rsid w:val="547924DA"/>
    <w:rsid w:val="54A56CB6"/>
    <w:rsid w:val="54B13B24"/>
    <w:rsid w:val="54CD137B"/>
    <w:rsid w:val="556C3A34"/>
    <w:rsid w:val="55852529"/>
    <w:rsid w:val="55D5564F"/>
    <w:rsid w:val="55FF6D4F"/>
    <w:rsid w:val="560F530D"/>
    <w:rsid w:val="561F174B"/>
    <w:rsid w:val="563D5189"/>
    <w:rsid w:val="57B01589"/>
    <w:rsid w:val="57E630BF"/>
    <w:rsid w:val="57FA6459"/>
    <w:rsid w:val="584A6B4F"/>
    <w:rsid w:val="58551555"/>
    <w:rsid w:val="58931D75"/>
    <w:rsid w:val="58B10726"/>
    <w:rsid w:val="58DF1B92"/>
    <w:rsid w:val="58EB7000"/>
    <w:rsid w:val="591379AC"/>
    <w:rsid w:val="593C71E6"/>
    <w:rsid w:val="59490A64"/>
    <w:rsid w:val="596867D2"/>
    <w:rsid w:val="59A22DD1"/>
    <w:rsid w:val="59BF4872"/>
    <w:rsid w:val="59D6302B"/>
    <w:rsid w:val="59E75891"/>
    <w:rsid w:val="5A3C31BA"/>
    <w:rsid w:val="5A5740D3"/>
    <w:rsid w:val="5A9454D3"/>
    <w:rsid w:val="5AAA2EA7"/>
    <w:rsid w:val="5AD14EAE"/>
    <w:rsid w:val="5AFE7AC2"/>
    <w:rsid w:val="5B2442D5"/>
    <w:rsid w:val="5B3074F7"/>
    <w:rsid w:val="5B672FF5"/>
    <w:rsid w:val="5B7A0996"/>
    <w:rsid w:val="5BCE5358"/>
    <w:rsid w:val="5C233F16"/>
    <w:rsid w:val="5C7D6FC0"/>
    <w:rsid w:val="5C943946"/>
    <w:rsid w:val="5D235BC0"/>
    <w:rsid w:val="5D3E46C8"/>
    <w:rsid w:val="5D4C4D9D"/>
    <w:rsid w:val="5D9A5148"/>
    <w:rsid w:val="5E791341"/>
    <w:rsid w:val="5F8149F3"/>
    <w:rsid w:val="5FB6070A"/>
    <w:rsid w:val="60545C02"/>
    <w:rsid w:val="60624555"/>
    <w:rsid w:val="606A77E9"/>
    <w:rsid w:val="612C2521"/>
    <w:rsid w:val="621B3142"/>
    <w:rsid w:val="622874C1"/>
    <w:rsid w:val="62332972"/>
    <w:rsid w:val="62472BE3"/>
    <w:rsid w:val="62537EEB"/>
    <w:rsid w:val="63AF3110"/>
    <w:rsid w:val="63D24D59"/>
    <w:rsid w:val="64831AB0"/>
    <w:rsid w:val="659A291E"/>
    <w:rsid w:val="65A47AD3"/>
    <w:rsid w:val="65C953C6"/>
    <w:rsid w:val="66BD5026"/>
    <w:rsid w:val="66FD655D"/>
    <w:rsid w:val="678D1F02"/>
    <w:rsid w:val="67F56318"/>
    <w:rsid w:val="67FD4D1D"/>
    <w:rsid w:val="67FD5F8B"/>
    <w:rsid w:val="684E773F"/>
    <w:rsid w:val="6879697E"/>
    <w:rsid w:val="6898697F"/>
    <w:rsid w:val="69024057"/>
    <w:rsid w:val="690C29E3"/>
    <w:rsid w:val="692E42B3"/>
    <w:rsid w:val="69B60F57"/>
    <w:rsid w:val="69DB6C54"/>
    <w:rsid w:val="69DF060C"/>
    <w:rsid w:val="6A703832"/>
    <w:rsid w:val="6A9A4651"/>
    <w:rsid w:val="6B0D495B"/>
    <w:rsid w:val="6B2C1EA9"/>
    <w:rsid w:val="6B781B1A"/>
    <w:rsid w:val="6BBA3525"/>
    <w:rsid w:val="6C353FD2"/>
    <w:rsid w:val="6C406F9D"/>
    <w:rsid w:val="6D0E4769"/>
    <w:rsid w:val="6D424805"/>
    <w:rsid w:val="6DDE4D0D"/>
    <w:rsid w:val="6E6E3B55"/>
    <w:rsid w:val="6E982CFA"/>
    <w:rsid w:val="6FA34482"/>
    <w:rsid w:val="6FCB154E"/>
    <w:rsid w:val="700155C1"/>
    <w:rsid w:val="707272FF"/>
    <w:rsid w:val="708C3591"/>
    <w:rsid w:val="70A56FAD"/>
    <w:rsid w:val="70B42C72"/>
    <w:rsid w:val="723642BE"/>
    <w:rsid w:val="723B79EB"/>
    <w:rsid w:val="72BE69A9"/>
    <w:rsid w:val="7314791C"/>
    <w:rsid w:val="731D6EC7"/>
    <w:rsid w:val="73856EAC"/>
    <w:rsid w:val="73AB2242"/>
    <w:rsid w:val="73C608B1"/>
    <w:rsid w:val="74742B44"/>
    <w:rsid w:val="753F10D5"/>
    <w:rsid w:val="75A20BDA"/>
    <w:rsid w:val="75AF57A2"/>
    <w:rsid w:val="76155CB8"/>
    <w:rsid w:val="764772A2"/>
    <w:rsid w:val="76A671F8"/>
    <w:rsid w:val="76D21FD0"/>
    <w:rsid w:val="76FA7438"/>
    <w:rsid w:val="775B5574"/>
    <w:rsid w:val="779315FB"/>
    <w:rsid w:val="77C501A3"/>
    <w:rsid w:val="79CB6DDD"/>
    <w:rsid w:val="79DE12AF"/>
    <w:rsid w:val="7A74273F"/>
    <w:rsid w:val="7ACF4D3E"/>
    <w:rsid w:val="7ADC700C"/>
    <w:rsid w:val="7B460336"/>
    <w:rsid w:val="7B4D053D"/>
    <w:rsid w:val="7B537B76"/>
    <w:rsid w:val="7B756D3C"/>
    <w:rsid w:val="7BA108AC"/>
    <w:rsid w:val="7BB068B5"/>
    <w:rsid w:val="7BB26871"/>
    <w:rsid w:val="7BCD0E82"/>
    <w:rsid w:val="7BCF3315"/>
    <w:rsid w:val="7C656A15"/>
    <w:rsid w:val="7C6B0C71"/>
    <w:rsid w:val="7CBE03A7"/>
    <w:rsid w:val="7CC6579A"/>
    <w:rsid w:val="7D293266"/>
    <w:rsid w:val="7D6E46E6"/>
    <w:rsid w:val="7D915007"/>
    <w:rsid w:val="7DA7736B"/>
    <w:rsid w:val="7DBB1B34"/>
    <w:rsid w:val="7DC07B3D"/>
    <w:rsid w:val="7DC44B0A"/>
    <w:rsid w:val="7DDF6519"/>
    <w:rsid w:val="7E313476"/>
    <w:rsid w:val="7E871992"/>
    <w:rsid w:val="7EA8681F"/>
    <w:rsid w:val="7EE8792A"/>
    <w:rsid w:val="7F1F5236"/>
    <w:rsid w:val="7F391341"/>
    <w:rsid w:val="7F9F0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FollowedHyperlink"/>
    <w:basedOn w:val="7"/>
    <w:qFormat/>
    <w:uiPriority w:val="0"/>
    <w:rPr>
      <w:rFonts w:cs="Times New Roman"/>
      <w:color w:val="800080"/>
      <w:u w:val="single"/>
    </w:rPr>
  </w:style>
  <w:style w:type="character" w:styleId="10">
    <w:name w:val="Hyperlink"/>
    <w:basedOn w:val="7"/>
    <w:qFormat/>
    <w:uiPriority w:val="0"/>
    <w:rPr>
      <w:rFonts w:cs="Times New Roman"/>
      <w:color w:val="0000FF"/>
      <w:u w:val="single"/>
    </w:rPr>
  </w:style>
  <w:style w:type="paragraph" w:customStyle="1" w:styleId="11">
    <w:name w:val="正文 New"/>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AD9A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924</Words>
  <Characters>5271</Characters>
  <Lines>43</Lines>
  <Paragraphs>12</Paragraphs>
  <TotalTime>31</TotalTime>
  <ScaleCrop>false</ScaleCrop>
  <LinksUpToDate>false</LinksUpToDate>
  <CharactersWithSpaces>6183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2020-11-13T07:28:00Z</dcterms:created>
  <dc:creator>Darren</dc:creator>
  <cp:lastModifiedBy>Administrator</cp:lastModifiedBy>
  <cp:lastPrinted>2020-09-12T09:01:00Z</cp:lastPrinted>
  <dcterms:modified xsi:type="dcterms:W3CDTF">2021-12-13T02:22:08Z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C0C31705F3504EA0B55F1F113D36024A</vt:lpwstr>
  </property>
</Properties>
</file>