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Cs/>
          <w:color w:val="000000"/>
          <w:spacing w:val="0"/>
          <w:w w:val="98"/>
          <w:kern w:val="0"/>
          <w:sz w:val="44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2022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年度周村区政府债务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1"/>
          <w:kern w:val="0"/>
          <w:sz w:val="44"/>
          <w:szCs w:val="22"/>
          <w:lang w:val="en-US" w:eastAsia="zh-CN"/>
        </w:rPr>
        <w:t>有关情况的说明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right="335" w:rightChars="0" w:firstLine="588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right="335" w:rightChars="0" w:firstLine="588" w:firstLineChars="200"/>
        <w:jc w:val="left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一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4"/>
          <w:kern w:val="0"/>
          <w:sz w:val="32"/>
        </w:rPr>
        <w:t>、</w:t>
      </w:r>
      <w:r>
        <w:rPr>
          <w:rFonts w:hint="default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</w:rPr>
        <w:t>20</w:t>
      </w:r>
      <w:r>
        <w:rPr>
          <w:rFonts w:hint="eastAsia" w:ascii="Times New Roman" w:hAnsi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22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全区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方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政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  <w:lang w:eastAsia="zh-CN"/>
        </w:rPr>
        <w:t>债务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限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额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情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经省政府批准，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市财政局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核定我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20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年度地方政府债务限额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69.26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亿元。其中当年新增债务限额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7.74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亿元，新增地方政府专项债务限额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7.74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left="631" w:lef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二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4"/>
          <w:kern w:val="0"/>
          <w:sz w:val="32"/>
        </w:rPr>
        <w:t>、</w:t>
      </w:r>
      <w:r>
        <w:rPr>
          <w:rFonts w:hint="default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</w:rPr>
        <w:t>20</w:t>
      </w:r>
      <w:r>
        <w:rPr>
          <w:rFonts w:hint="eastAsia" w:ascii="Times New Roman" w:hAnsi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22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5"/>
          <w:kern w:val="0"/>
          <w:sz w:val="32"/>
          <w:lang w:eastAsia="zh-CN"/>
        </w:rPr>
        <w:t>全区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方政府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举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借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  <w:lang w:eastAsia="zh-CN"/>
        </w:rPr>
        <w:t>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在依法批准的债务限额内，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2022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年我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当年举借债务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14.59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亿元，其中：新增债券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7.74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再融资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债券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6.85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亿元。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再融资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债券只用于置换存量债务，不增加政府债务限额和余额。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ind w:left="632" w:leftChars="0" w:right="1127" w:rightChars="0" w:hanging="1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color w:val="000000"/>
          <w:spacing w:val="0"/>
          <w:kern w:val="0"/>
          <w:sz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0"/>
          <w:w w:val="92"/>
          <w:kern w:val="0"/>
          <w:sz w:val="32"/>
        </w:rPr>
        <w:t>三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8"/>
          <w:kern w:val="0"/>
          <w:sz w:val="32"/>
        </w:rPr>
        <w:t>、</w:t>
      </w:r>
      <w:r>
        <w:rPr>
          <w:rFonts w:hint="eastAsia" w:ascii="Times New Roman" w:hAnsi="Times New Roman" w:eastAsia="Times New Roman" w:cs="Times New Roman"/>
          <w:bCs/>
          <w:color w:val="000000"/>
          <w:spacing w:val="0"/>
          <w:w w:val="100"/>
          <w:kern w:val="0"/>
          <w:sz w:val="32"/>
          <w:lang w:val="en-US" w:eastAsia="zh-CN"/>
        </w:rPr>
        <w:t>2022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7"/>
          <w:kern w:val="0"/>
          <w:sz w:val="32"/>
        </w:rPr>
        <w:t>年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全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  <w:lang w:eastAsia="zh-CN"/>
        </w:rPr>
        <w:t>区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</w:rPr>
        <w:t>地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方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政府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89"/>
          <w:kern w:val="0"/>
          <w:sz w:val="32"/>
          <w:lang w:eastAsia="zh-CN"/>
        </w:rPr>
        <w:t>债券资金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100"/>
          <w:kern w:val="0"/>
          <w:sz w:val="32"/>
        </w:rPr>
        <w:t>使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w w:val="99"/>
          <w:kern w:val="0"/>
          <w:sz w:val="32"/>
        </w:rPr>
        <w:t>用情</w:t>
      </w:r>
      <w:r>
        <w:rPr>
          <w:rFonts w:hint="default" w:ascii="Times New Roman" w:hAnsi="Times New Roman" w:eastAsia="黑体" w:cs="Times New Roman"/>
          <w:bCs/>
          <w:color w:val="000000"/>
          <w:spacing w:val="0"/>
          <w:kern w:val="0"/>
          <w:sz w:val="32"/>
        </w:rPr>
        <w:t xml:space="preserve">况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line="520" w:lineRule="exact"/>
        <w:ind w:firstLine="632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</w:pP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严格按照政策规定，用足用好债券资金。其中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2022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年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全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区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7.74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亿元新增债券使用安排情况是：用于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保障性住房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(棚户区改造)6.18</w:t>
      </w: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79.84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用于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农林水利建设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0.26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3.36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%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用于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其他项目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1.3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亿元，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占</w:t>
      </w:r>
      <w:r>
        <w:rPr>
          <w:rFonts w:hint="eastAsia" w:ascii="Times New Roman" w:hAnsi="Times New Roman" w:eastAsia="仿宋" w:cs="Times New Roman"/>
          <w:bCs/>
          <w:color w:val="000000"/>
          <w:spacing w:val="0"/>
          <w:kern w:val="0"/>
          <w:sz w:val="32"/>
          <w:lang w:val="en-US" w:eastAsia="zh-CN"/>
        </w:rPr>
        <w:t>16.80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%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在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  <w:lang w:eastAsia="zh-CN"/>
        </w:rPr>
        <w:t>再融资</w:t>
      </w:r>
      <w:r>
        <w:rPr>
          <w:rFonts w:hint="default" w:ascii="Times New Roman" w:hAnsi="Times New Roman" w:eastAsia="仿宋" w:cs="Times New Roman"/>
          <w:bCs/>
          <w:color w:val="000000"/>
          <w:spacing w:val="0"/>
          <w:kern w:val="0"/>
          <w:sz w:val="32"/>
        </w:rPr>
        <w:t>债券资金使用方面，优先置换高息债务，优化债务期限结构，有力缓解了各级偿债压力，进一步降低了地方政府融资成本。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20" w:lineRule="exact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B2BEDD-6D39-4ECC-A777-8E9F3FF501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F2329B8-9349-459A-985B-FBB603B3F9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880D23A-E9ED-4257-83EC-07EBEB87A9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OWY4NTUyMDUzNDkxNmRlZTZkNWNiZDU2NjM3OWMifQ=="/>
  </w:docVars>
  <w:rsids>
    <w:rsidRoot w:val="00172A27"/>
    <w:rsid w:val="2C520F40"/>
    <w:rsid w:val="56C85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"/>
    <w:uiPriority w:val="0"/>
    <w:pPr>
      <w:adjustRightInd w:val="0"/>
      <w:snapToGrid w:val="0"/>
      <w:spacing w:after="200" w:afterLines="0" w:line="240" w:lineRule="auto"/>
    </w:pPr>
    <w:rPr>
      <w:rFonts w:ascii="Tahoma" w:hAnsi="Tahoma" w:eastAsia="微软雅黑" w:cs="黑体"/>
      <w:sz w:val="22"/>
      <w:szCs w:val="22"/>
      <w:lang w:val="en-US" w:eastAsia="zh-CN"/>
    </w:rPr>
  </w:style>
  <w:style w:type="paragraph" w:customStyle="1" w:styleId="5">
    <w:name w:val="正文 New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6">
    <w:name w:val="正文 New New New New New New New New New New New New New New New New New New New New"/>
    <w:uiPriority w:val="0"/>
    <w:pPr>
      <w:widowControl w:val="0"/>
      <w:jc w:val="both"/>
    </w:pPr>
    <w:rPr>
      <w:rFonts w:ascii="Calibri" w:hAnsi="Calibri"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2021-09-07T08:31:00Z</dcterms:created>
  <dc:creator>Administrator</dc:creator>
  <cp:lastModifiedBy>skyseal</cp:lastModifiedBy>
  <dcterms:modified xsi:type="dcterms:W3CDTF">2023-05-24T10:33:54Z</dcterms:modified>
  <dc:title>Sea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B4DA0287315C4B6BB1072C17551B8395_13</vt:lpwstr>
  </property>
</Properties>
</file>