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7298D">
      <w:pPr>
        <w:spacing w:line="300" w:lineRule="exact"/>
        <w:rPr>
          <w:rFonts w:eastAsia="华文中宋"/>
          <w:color w:val="FF0000"/>
          <w:w w:val="52"/>
          <w:sz w:val="80"/>
        </w:rPr>
      </w:pPr>
    </w:p>
    <w:p w:rsidR="00000000" w:rsidRDefault="009F2422">
      <w:pPr>
        <w:spacing w:line="560" w:lineRule="exact"/>
        <w:jc w:val="center"/>
        <w:rPr>
          <w:rFonts w:eastAsia="方正小标宋简体"/>
          <w:sz w:val="44"/>
          <w:szCs w:val="44"/>
        </w:rPr>
      </w:pPr>
      <w:r>
        <w:rPr>
          <w:rFonts w:eastAsia="方正小标宋简体" w:hint="eastAsia"/>
          <w:sz w:val="44"/>
          <w:szCs w:val="44"/>
        </w:rPr>
        <w:t>区发展改革局</w:t>
      </w:r>
      <w:r>
        <w:rPr>
          <w:rFonts w:ascii="方正小标宋简体" w:eastAsia="方正小标宋简体" w:hAnsi="方正小标宋简体" w:cs="方正小标宋简体" w:hint="eastAsia"/>
          <w:color w:val="000000"/>
          <w:kern w:val="0"/>
          <w:sz w:val="44"/>
          <w:szCs w:val="44"/>
          <w:lang/>
        </w:rPr>
        <w:t>2020年《政府工作报告》事项执行与监督</w:t>
      </w:r>
    </w:p>
    <w:p w:rsidR="009F2422" w:rsidRDefault="009F2422">
      <w:pPr>
        <w:spacing w:line="600" w:lineRule="exact"/>
        <w:jc w:val="left"/>
        <w:rPr>
          <w:rFonts w:eastAsia="黑体" w:hint="eastAsia"/>
          <w:sz w:val="32"/>
          <w:szCs w:val="32"/>
        </w:rPr>
      </w:pPr>
    </w:p>
    <w:tbl>
      <w:tblPr>
        <w:tblW w:w="141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5"/>
        <w:gridCol w:w="1657"/>
        <w:gridCol w:w="3194"/>
        <w:gridCol w:w="1488"/>
        <w:gridCol w:w="1489"/>
        <w:gridCol w:w="1489"/>
        <w:gridCol w:w="1489"/>
        <w:gridCol w:w="1489"/>
        <w:gridCol w:w="1489"/>
      </w:tblGrid>
      <w:tr w:rsidR="008B200F" w:rsidTr="008B200F">
        <w:trPr>
          <w:trHeight w:val="647"/>
          <w:jc w:val="center"/>
        </w:trPr>
        <w:tc>
          <w:tcPr>
            <w:tcW w:w="375" w:type="dxa"/>
            <w:vAlign w:val="center"/>
          </w:tcPr>
          <w:p w:rsidR="008B200F" w:rsidRDefault="008B200F">
            <w:pPr>
              <w:spacing w:line="220" w:lineRule="exact"/>
              <w:jc w:val="center"/>
              <w:rPr>
                <w:rFonts w:eastAsia="黑体"/>
              </w:rPr>
            </w:pPr>
            <w:r>
              <w:rPr>
                <w:rFonts w:eastAsia="黑体"/>
              </w:rPr>
              <w:t>序</w:t>
            </w:r>
          </w:p>
          <w:p w:rsidR="008B200F" w:rsidRDefault="008B200F">
            <w:pPr>
              <w:spacing w:line="220" w:lineRule="exact"/>
              <w:jc w:val="center"/>
              <w:rPr>
                <w:rFonts w:eastAsia="黑体"/>
              </w:rPr>
            </w:pPr>
            <w:r>
              <w:rPr>
                <w:rFonts w:eastAsia="黑体"/>
              </w:rPr>
              <w:t>号</w:t>
            </w:r>
          </w:p>
        </w:tc>
        <w:tc>
          <w:tcPr>
            <w:tcW w:w="1657" w:type="dxa"/>
            <w:vAlign w:val="center"/>
          </w:tcPr>
          <w:p w:rsidR="008B200F" w:rsidRDefault="008B200F">
            <w:pPr>
              <w:spacing w:line="220" w:lineRule="exact"/>
              <w:jc w:val="center"/>
              <w:rPr>
                <w:rFonts w:eastAsia="黑体"/>
              </w:rPr>
            </w:pPr>
            <w:r>
              <w:rPr>
                <w:rFonts w:eastAsia="黑体" w:hint="eastAsia"/>
              </w:rPr>
              <w:t>工作任务</w:t>
            </w:r>
          </w:p>
        </w:tc>
        <w:tc>
          <w:tcPr>
            <w:tcW w:w="3194" w:type="dxa"/>
            <w:vAlign w:val="center"/>
          </w:tcPr>
          <w:p w:rsidR="008B200F" w:rsidRDefault="008B200F">
            <w:pPr>
              <w:spacing w:line="220" w:lineRule="exact"/>
              <w:jc w:val="center"/>
              <w:rPr>
                <w:rFonts w:eastAsia="黑体" w:hint="eastAsia"/>
              </w:rPr>
            </w:pPr>
            <w:r>
              <w:rPr>
                <w:rFonts w:eastAsia="黑体" w:hint="eastAsia"/>
              </w:rPr>
              <w:t>目标措施</w:t>
            </w:r>
          </w:p>
        </w:tc>
        <w:tc>
          <w:tcPr>
            <w:tcW w:w="1488" w:type="dxa"/>
            <w:vAlign w:val="center"/>
          </w:tcPr>
          <w:p w:rsidR="008B200F" w:rsidRDefault="008B200F" w:rsidP="008B200F">
            <w:pPr>
              <w:spacing w:line="220" w:lineRule="exact"/>
              <w:jc w:val="center"/>
              <w:rPr>
                <w:rFonts w:eastAsia="黑体"/>
              </w:rPr>
            </w:pPr>
            <w:r>
              <w:rPr>
                <w:rFonts w:eastAsia="黑体"/>
              </w:rPr>
              <w:t>第</w:t>
            </w:r>
            <w:r>
              <w:rPr>
                <w:rFonts w:eastAsia="黑体"/>
              </w:rPr>
              <w:t>1</w:t>
            </w:r>
            <w:r>
              <w:rPr>
                <w:rFonts w:eastAsia="黑体"/>
              </w:rPr>
              <w:t>季度</w:t>
            </w:r>
          </w:p>
        </w:tc>
        <w:tc>
          <w:tcPr>
            <w:tcW w:w="1489" w:type="dxa"/>
            <w:vAlign w:val="center"/>
          </w:tcPr>
          <w:p w:rsidR="008B200F" w:rsidRDefault="008B200F" w:rsidP="008B200F">
            <w:pPr>
              <w:spacing w:line="220" w:lineRule="exact"/>
              <w:jc w:val="center"/>
              <w:rPr>
                <w:rFonts w:eastAsia="黑体"/>
              </w:rPr>
            </w:pPr>
            <w:r>
              <w:rPr>
                <w:rFonts w:eastAsia="黑体"/>
              </w:rPr>
              <w:t>第</w:t>
            </w:r>
            <w:r>
              <w:rPr>
                <w:rFonts w:eastAsia="黑体"/>
              </w:rPr>
              <w:t>2</w:t>
            </w:r>
            <w:r>
              <w:rPr>
                <w:rFonts w:eastAsia="黑体"/>
              </w:rPr>
              <w:t>季度</w:t>
            </w:r>
          </w:p>
        </w:tc>
        <w:tc>
          <w:tcPr>
            <w:tcW w:w="1489" w:type="dxa"/>
            <w:vAlign w:val="center"/>
          </w:tcPr>
          <w:p w:rsidR="008B200F" w:rsidRDefault="008B200F" w:rsidP="008B200F">
            <w:pPr>
              <w:spacing w:line="220" w:lineRule="exact"/>
              <w:jc w:val="center"/>
              <w:rPr>
                <w:rFonts w:eastAsia="黑体"/>
              </w:rPr>
            </w:pPr>
            <w:r>
              <w:rPr>
                <w:rFonts w:eastAsia="黑体"/>
              </w:rPr>
              <w:t>第</w:t>
            </w:r>
            <w:r>
              <w:rPr>
                <w:rFonts w:eastAsia="黑体"/>
              </w:rPr>
              <w:t>3</w:t>
            </w:r>
            <w:r>
              <w:rPr>
                <w:rFonts w:eastAsia="黑体"/>
              </w:rPr>
              <w:t>季度</w:t>
            </w:r>
          </w:p>
        </w:tc>
        <w:tc>
          <w:tcPr>
            <w:tcW w:w="1489" w:type="dxa"/>
            <w:vAlign w:val="center"/>
          </w:tcPr>
          <w:p w:rsidR="008B200F" w:rsidRDefault="008B200F" w:rsidP="008B200F">
            <w:pPr>
              <w:spacing w:line="220" w:lineRule="exact"/>
              <w:jc w:val="center"/>
              <w:rPr>
                <w:rFonts w:eastAsia="黑体"/>
              </w:rPr>
            </w:pPr>
            <w:r>
              <w:rPr>
                <w:rFonts w:eastAsia="黑体"/>
              </w:rPr>
              <w:t>第</w:t>
            </w:r>
            <w:r>
              <w:rPr>
                <w:rFonts w:eastAsia="黑体"/>
              </w:rPr>
              <w:t>4</w:t>
            </w:r>
            <w:r>
              <w:rPr>
                <w:rFonts w:eastAsia="黑体"/>
              </w:rPr>
              <w:t>季度</w:t>
            </w:r>
          </w:p>
        </w:tc>
        <w:tc>
          <w:tcPr>
            <w:tcW w:w="1489" w:type="dxa"/>
            <w:vAlign w:val="center"/>
          </w:tcPr>
          <w:p w:rsidR="008B200F" w:rsidRDefault="008B200F" w:rsidP="008B200F">
            <w:pPr>
              <w:spacing w:line="220" w:lineRule="exact"/>
              <w:jc w:val="center"/>
              <w:rPr>
                <w:rFonts w:eastAsia="黑体"/>
              </w:rPr>
            </w:pPr>
            <w:r>
              <w:rPr>
                <w:rFonts w:eastAsia="黑体" w:hint="eastAsia"/>
              </w:rPr>
              <w:t>责任分工</w:t>
            </w:r>
          </w:p>
        </w:tc>
        <w:tc>
          <w:tcPr>
            <w:tcW w:w="1489" w:type="dxa"/>
            <w:vAlign w:val="center"/>
          </w:tcPr>
          <w:p w:rsidR="008B200F" w:rsidRDefault="008B200F" w:rsidP="008B200F">
            <w:pPr>
              <w:spacing w:line="220" w:lineRule="exact"/>
              <w:jc w:val="center"/>
              <w:rPr>
                <w:rFonts w:eastAsia="黑体"/>
              </w:rPr>
            </w:pPr>
            <w:r>
              <w:rPr>
                <w:rFonts w:eastAsia="黑体" w:hint="eastAsia"/>
              </w:rPr>
              <w:t>监督方式</w:t>
            </w:r>
          </w:p>
        </w:tc>
      </w:tr>
      <w:tr w:rsidR="008B200F" w:rsidTr="003F4D3C">
        <w:trPr>
          <w:trHeight w:val="3543"/>
          <w:jc w:val="center"/>
        </w:trPr>
        <w:tc>
          <w:tcPr>
            <w:tcW w:w="375" w:type="dxa"/>
            <w:vAlign w:val="center"/>
          </w:tcPr>
          <w:p w:rsidR="008B200F" w:rsidRDefault="008B200F">
            <w:pPr>
              <w:spacing w:line="240" w:lineRule="exact"/>
              <w:jc w:val="center"/>
              <w:rPr>
                <w:rFonts w:eastAsia="仿宋_GB2312"/>
              </w:rPr>
            </w:pPr>
            <w:r>
              <w:rPr>
                <w:rFonts w:eastAsia="仿宋_GB2312" w:hint="eastAsia"/>
              </w:rPr>
              <w:t>1</w:t>
            </w:r>
          </w:p>
        </w:tc>
        <w:tc>
          <w:tcPr>
            <w:tcW w:w="1657" w:type="dxa"/>
            <w:vAlign w:val="center"/>
          </w:tcPr>
          <w:p w:rsidR="008B200F" w:rsidRDefault="008B200F">
            <w:pPr>
              <w:spacing w:line="240" w:lineRule="exact"/>
              <w:rPr>
                <w:rFonts w:eastAsia="仿宋_GB2312" w:hint="eastAsia"/>
              </w:rPr>
            </w:pPr>
            <w:r>
              <w:rPr>
                <w:rFonts w:eastAsia="仿宋_GB2312" w:hint="eastAsia"/>
              </w:rPr>
              <w:t>全面完成省市下达的节能减排约束性指标。</w:t>
            </w:r>
          </w:p>
        </w:tc>
        <w:tc>
          <w:tcPr>
            <w:tcW w:w="3194" w:type="dxa"/>
            <w:vAlign w:val="center"/>
          </w:tcPr>
          <w:p w:rsidR="008B200F" w:rsidRDefault="008B200F">
            <w:pPr>
              <w:spacing w:line="220" w:lineRule="exact"/>
              <w:rPr>
                <w:rFonts w:eastAsia="仿宋_GB2312"/>
              </w:rPr>
            </w:pPr>
            <w:r>
              <w:rPr>
                <w:rFonts w:eastAsia="仿宋_GB2312" w:hint="eastAsia"/>
              </w:rPr>
              <w:t>①加强对全区</w:t>
            </w:r>
            <w:r>
              <w:rPr>
                <w:rFonts w:eastAsia="仿宋_GB2312" w:hint="eastAsia"/>
              </w:rPr>
              <w:t>13</w:t>
            </w:r>
            <w:r>
              <w:rPr>
                <w:rFonts w:eastAsia="仿宋_GB2312" w:hint="eastAsia"/>
              </w:rPr>
              <w:t>家重点用能单位能耗监控，大力实施节能重点工程。支持企业实施重点节能技术应用改造，不断提升能源利用效率。确保完成能耗强度比</w:t>
            </w:r>
            <w:r>
              <w:rPr>
                <w:rFonts w:eastAsia="仿宋_GB2312" w:hint="eastAsia"/>
              </w:rPr>
              <w:t>2015</w:t>
            </w:r>
            <w:r>
              <w:rPr>
                <w:rFonts w:eastAsia="仿宋_GB2312" w:hint="eastAsia"/>
              </w:rPr>
              <w:t>年降低</w:t>
            </w:r>
            <w:r>
              <w:rPr>
                <w:rFonts w:eastAsia="仿宋_GB2312" w:hint="eastAsia"/>
              </w:rPr>
              <w:t>17%</w:t>
            </w:r>
            <w:r>
              <w:rPr>
                <w:rFonts w:eastAsia="仿宋_GB2312" w:hint="eastAsia"/>
              </w:rPr>
              <w:t>，能耗增量控制在</w:t>
            </w:r>
            <w:r>
              <w:rPr>
                <w:rFonts w:eastAsia="仿宋_GB2312" w:hint="eastAsia"/>
              </w:rPr>
              <w:t>10.3</w:t>
            </w:r>
            <w:r>
              <w:rPr>
                <w:rFonts w:eastAsia="仿宋_GB2312" w:hint="eastAsia"/>
              </w:rPr>
              <w:t>万吨标煤的目标任务。</w:t>
            </w:r>
          </w:p>
          <w:p w:rsidR="008B200F" w:rsidRDefault="008B200F">
            <w:pPr>
              <w:spacing w:line="220" w:lineRule="exact"/>
              <w:rPr>
                <w:rFonts w:eastAsia="仿宋_GB2312"/>
              </w:rPr>
            </w:pPr>
            <w:r>
              <w:rPr>
                <w:rFonts w:eastAsia="仿宋_GB2312" w:hint="eastAsia"/>
              </w:rPr>
              <w:t>②加强对全区</w:t>
            </w:r>
            <w:r>
              <w:rPr>
                <w:rFonts w:eastAsia="仿宋_GB2312" w:hint="eastAsia"/>
              </w:rPr>
              <w:t>6</w:t>
            </w:r>
            <w:r>
              <w:rPr>
                <w:rFonts w:eastAsia="仿宋_GB2312" w:hint="eastAsia"/>
              </w:rPr>
              <w:t>家用煤企业监控，严格控制煤炭消费总量，确保完成全区年度燃煤总量</w:t>
            </w:r>
            <w:r>
              <w:rPr>
                <w:rFonts w:eastAsia="仿宋_GB2312" w:hint="eastAsia"/>
              </w:rPr>
              <w:t>75</w:t>
            </w:r>
            <w:r>
              <w:rPr>
                <w:rFonts w:eastAsia="仿宋_GB2312" w:hint="eastAsia"/>
              </w:rPr>
              <w:t>万吨目标任务。</w:t>
            </w:r>
          </w:p>
          <w:p w:rsidR="008B200F" w:rsidRDefault="008B200F">
            <w:pPr>
              <w:spacing w:line="220" w:lineRule="exact"/>
              <w:rPr>
                <w:rFonts w:eastAsia="仿宋_GB2312"/>
              </w:rPr>
            </w:pPr>
            <w:r>
              <w:rPr>
                <w:rFonts w:eastAsia="仿宋_GB2312" w:hint="eastAsia"/>
              </w:rPr>
              <w:t>③</w:t>
            </w:r>
            <w:r>
              <w:rPr>
                <w:rFonts w:eastAsia="仿宋_GB2312"/>
              </w:rPr>
              <w:t>严格控制燃煤项目的审批</w:t>
            </w:r>
            <w:r>
              <w:rPr>
                <w:rFonts w:eastAsia="仿宋_GB2312" w:hint="eastAsia"/>
              </w:rPr>
              <w:t>。</w:t>
            </w:r>
          </w:p>
          <w:p w:rsidR="008B200F" w:rsidRDefault="008B200F">
            <w:pPr>
              <w:spacing w:line="220" w:lineRule="exact"/>
              <w:rPr>
                <w:rFonts w:eastAsia="仿宋_GB2312"/>
              </w:rPr>
            </w:pPr>
            <w:r>
              <w:rPr>
                <w:rFonts w:eastAsia="仿宋_GB2312" w:hint="eastAsia"/>
              </w:rPr>
              <w:t>④</w:t>
            </w:r>
            <w:r>
              <w:rPr>
                <w:rFonts w:eastAsia="仿宋_GB2312"/>
              </w:rPr>
              <w:t>加大散煤治理力度</w:t>
            </w:r>
            <w:r>
              <w:rPr>
                <w:rFonts w:eastAsia="仿宋_GB2312" w:hint="eastAsia"/>
              </w:rPr>
              <w:t>。开展散煤执法检查、煤质抽检等行动，有效抵制劣质散煤的销售使用。</w:t>
            </w:r>
          </w:p>
        </w:tc>
        <w:tc>
          <w:tcPr>
            <w:tcW w:w="1488" w:type="dxa"/>
            <w:vAlign w:val="center"/>
          </w:tcPr>
          <w:p w:rsidR="008B200F" w:rsidRDefault="008B200F">
            <w:pPr>
              <w:spacing w:line="240" w:lineRule="exact"/>
              <w:rPr>
                <w:rFonts w:eastAsia="仿宋_GB2312" w:hint="eastAsia"/>
              </w:rPr>
            </w:pPr>
            <w:r>
              <w:rPr>
                <w:rFonts w:eastAsia="仿宋_GB2312" w:hint="eastAsia"/>
              </w:rPr>
              <w:t>全区煤炭消费总量</w:t>
            </w:r>
            <w:r>
              <w:rPr>
                <w:rFonts w:eastAsia="仿宋_GB2312" w:hint="eastAsia"/>
              </w:rPr>
              <w:t>20</w:t>
            </w:r>
            <w:r>
              <w:rPr>
                <w:rFonts w:eastAsia="仿宋_GB2312" w:hint="eastAsia"/>
              </w:rPr>
              <w:t>万吨以内。</w:t>
            </w:r>
          </w:p>
        </w:tc>
        <w:tc>
          <w:tcPr>
            <w:tcW w:w="1489" w:type="dxa"/>
            <w:vAlign w:val="center"/>
          </w:tcPr>
          <w:p w:rsidR="008B200F" w:rsidRDefault="008B200F">
            <w:pPr>
              <w:spacing w:line="240" w:lineRule="exact"/>
              <w:rPr>
                <w:rFonts w:eastAsia="仿宋_GB2312" w:hint="eastAsia"/>
              </w:rPr>
            </w:pPr>
            <w:r>
              <w:rPr>
                <w:rFonts w:eastAsia="仿宋_GB2312" w:hint="eastAsia"/>
              </w:rPr>
              <w:t>全区煤炭消费总量</w:t>
            </w:r>
            <w:r>
              <w:rPr>
                <w:rFonts w:eastAsia="仿宋_GB2312" w:hint="eastAsia"/>
              </w:rPr>
              <w:t>15</w:t>
            </w:r>
            <w:r>
              <w:rPr>
                <w:rFonts w:eastAsia="仿宋_GB2312" w:hint="eastAsia"/>
              </w:rPr>
              <w:t>万吨以内。</w:t>
            </w:r>
          </w:p>
        </w:tc>
        <w:tc>
          <w:tcPr>
            <w:tcW w:w="1489" w:type="dxa"/>
            <w:vAlign w:val="center"/>
          </w:tcPr>
          <w:p w:rsidR="008B200F" w:rsidRDefault="008B200F">
            <w:pPr>
              <w:spacing w:line="240" w:lineRule="exact"/>
              <w:rPr>
                <w:rFonts w:eastAsia="仿宋_GB2312" w:hint="eastAsia"/>
              </w:rPr>
            </w:pPr>
            <w:r>
              <w:rPr>
                <w:rFonts w:eastAsia="仿宋_GB2312" w:hint="eastAsia"/>
              </w:rPr>
              <w:t>全区煤炭消费总量</w:t>
            </w:r>
            <w:r>
              <w:rPr>
                <w:rFonts w:eastAsia="仿宋_GB2312" w:hint="eastAsia"/>
              </w:rPr>
              <w:t>20</w:t>
            </w:r>
            <w:r>
              <w:rPr>
                <w:rFonts w:eastAsia="仿宋_GB2312" w:hint="eastAsia"/>
              </w:rPr>
              <w:t>万吨以内。</w:t>
            </w:r>
          </w:p>
        </w:tc>
        <w:tc>
          <w:tcPr>
            <w:tcW w:w="1489" w:type="dxa"/>
            <w:vAlign w:val="center"/>
          </w:tcPr>
          <w:p w:rsidR="008B200F" w:rsidRDefault="008B200F">
            <w:pPr>
              <w:spacing w:line="240" w:lineRule="exact"/>
              <w:rPr>
                <w:rFonts w:eastAsia="仿宋_GB2312" w:hint="eastAsia"/>
              </w:rPr>
            </w:pPr>
            <w:r>
              <w:rPr>
                <w:rFonts w:eastAsia="仿宋_GB2312" w:hint="eastAsia"/>
              </w:rPr>
              <w:t>全区煤炭消费总量</w:t>
            </w:r>
            <w:r>
              <w:rPr>
                <w:rFonts w:eastAsia="仿宋_GB2312" w:hint="eastAsia"/>
              </w:rPr>
              <w:t>20</w:t>
            </w:r>
            <w:r>
              <w:rPr>
                <w:rFonts w:eastAsia="仿宋_GB2312" w:hint="eastAsia"/>
              </w:rPr>
              <w:t>万吨以内；完成全年能耗增量控制在</w:t>
            </w:r>
            <w:r>
              <w:rPr>
                <w:rFonts w:eastAsia="仿宋_GB2312" w:hint="eastAsia"/>
              </w:rPr>
              <w:t>10.3</w:t>
            </w:r>
            <w:r>
              <w:rPr>
                <w:rFonts w:eastAsia="仿宋_GB2312" w:hint="eastAsia"/>
              </w:rPr>
              <w:t>万吨标煤以内。完成能耗强度比</w:t>
            </w:r>
            <w:r>
              <w:rPr>
                <w:rFonts w:eastAsia="仿宋_GB2312" w:hint="eastAsia"/>
              </w:rPr>
              <w:t>2015</w:t>
            </w:r>
            <w:r>
              <w:rPr>
                <w:rFonts w:eastAsia="仿宋_GB2312" w:hint="eastAsia"/>
              </w:rPr>
              <w:t>年降低</w:t>
            </w:r>
            <w:r>
              <w:rPr>
                <w:rFonts w:eastAsia="仿宋_GB2312" w:hint="eastAsia"/>
              </w:rPr>
              <w:t>17%</w:t>
            </w:r>
            <w:r>
              <w:rPr>
                <w:rFonts w:eastAsia="仿宋_GB2312" w:hint="eastAsia"/>
              </w:rPr>
              <w:t>目标。</w:t>
            </w:r>
          </w:p>
        </w:tc>
        <w:tc>
          <w:tcPr>
            <w:tcW w:w="1489" w:type="dxa"/>
            <w:vAlign w:val="center"/>
          </w:tcPr>
          <w:p w:rsidR="008B200F" w:rsidRDefault="008B200F" w:rsidP="008B200F">
            <w:pPr>
              <w:spacing w:line="240" w:lineRule="exact"/>
              <w:jc w:val="center"/>
              <w:rPr>
                <w:rFonts w:eastAsia="仿宋_GB2312" w:hint="eastAsia"/>
              </w:rPr>
            </w:pPr>
            <w:r>
              <w:rPr>
                <w:rFonts w:eastAsia="仿宋_GB2312" w:hint="eastAsia"/>
              </w:rPr>
              <w:t>能源科</w:t>
            </w:r>
          </w:p>
        </w:tc>
        <w:tc>
          <w:tcPr>
            <w:tcW w:w="1489" w:type="dxa"/>
            <w:vAlign w:val="center"/>
          </w:tcPr>
          <w:p w:rsidR="008B200F" w:rsidRDefault="008B200F" w:rsidP="008B200F">
            <w:pPr>
              <w:spacing w:line="240" w:lineRule="exact"/>
              <w:jc w:val="center"/>
              <w:rPr>
                <w:rFonts w:eastAsia="仿宋_GB2312" w:hint="eastAsia"/>
              </w:rPr>
            </w:pPr>
            <w:r>
              <w:rPr>
                <w:rFonts w:eastAsia="仿宋_GB2312" w:hint="eastAsia"/>
              </w:rPr>
              <w:t>监督电话：</w:t>
            </w:r>
            <w:r>
              <w:rPr>
                <w:rFonts w:eastAsia="仿宋_GB2312" w:hint="eastAsia"/>
              </w:rPr>
              <w:t>6195397</w:t>
            </w:r>
          </w:p>
        </w:tc>
      </w:tr>
      <w:tr w:rsidR="003F4D3C" w:rsidTr="003F4D3C">
        <w:trPr>
          <w:trHeight w:val="2974"/>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t>2</w:t>
            </w:r>
          </w:p>
        </w:tc>
        <w:tc>
          <w:tcPr>
            <w:tcW w:w="1657" w:type="dxa"/>
            <w:vAlign w:val="center"/>
          </w:tcPr>
          <w:p w:rsidR="003F4D3C" w:rsidRDefault="003F4D3C" w:rsidP="00553766">
            <w:pPr>
              <w:spacing w:line="240" w:lineRule="exact"/>
              <w:rPr>
                <w:rFonts w:eastAsia="仿宋_GB2312" w:hint="eastAsia"/>
              </w:rPr>
            </w:pPr>
            <w:r>
              <w:rPr>
                <w:rFonts w:eastAsia="仿宋_GB2312" w:hint="eastAsia"/>
              </w:rPr>
              <w:t>加大“六稳”“六保”工作力度，千方百计落实上级各项政策举措，推动各行各业复工复产提速扩面。</w:t>
            </w:r>
          </w:p>
        </w:tc>
        <w:tc>
          <w:tcPr>
            <w:tcW w:w="3194" w:type="dxa"/>
            <w:vAlign w:val="center"/>
          </w:tcPr>
          <w:p w:rsidR="003F4D3C" w:rsidRDefault="003F4D3C" w:rsidP="00553766">
            <w:pPr>
              <w:spacing w:line="260" w:lineRule="exact"/>
              <w:jc w:val="left"/>
              <w:rPr>
                <w:rFonts w:eastAsia="仿宋_GB2312" w:hint="eastAsia"/>
              </w:rPr>
            </w:pPr>
            <w:r>
              <w:rPr>
                <w:rFonts w:eastAsia="仿宋_GB2312" w:hint="eastAsia"/>
              </w:rPr>
              <w:t>①积极对接工业企业各类政策，加大宣传力度，加强政策解读，引导企业参加线上展会，申报国家、省、市相关补贴扶持政策。</w:t>
            </w:r>
          </w:p>
          <w:p w:rsidR="003F4D3C" w:rsidRDefault="003F4D3C" w:rsidP="00553766">
            <w:pPr>
              <w:spacing w:line="260" w:lineRule="exact"/>
              <w:jc w:val="left"/>
              <w:rPr>
                <w:rFonts w:eastAsia="仿宋_GB2312" w:hint="eastAsia"/>
              </w:rPr>
            </w:pPr>
            <w:r>
              <w:rPr>
                <w:rFonts w:eastAsia="仿宋_GB2312" w:hint="eastAsia"/>
              </w:rPr>
              <w:t>②强化政策落实，推动职能内惠企政策加快落实，让企业应享尽享。</w:t>
            </w:r>
          </w:p>
          <w:p w:rsidR="003F4D3C" w:rsidRDefault="003F4D3C" w:rsidP="00553766">
            <w:pPr>
              <w:spacing w:line="260" w:lineRule="exact"/>
              <w:jc w:val="left"/>
              <w:rPr>
                <w:rFonts w:eastAsia="黑体" w:hint="eastAsia"/>
              </w:rPr>
            </w:pPr>
            <w:r>
              <w:rPr>
                <w:rFonts w:eastAsia="仿宋_GB2312" w:hint="eastAsia"/>
              </w:rPr>
              <w:t>③及时调度企业生产经营情况，协调解决企业困难和问题，确保企业运行稳定、稳中有进，实现工业经济目标。</w:t>
            </w:r>
          </w:p>
        </w:tc>
        <w:tc>
          <w:tcPr>
            <w:tcW w:w="1488" w:type="dxa"/>
            <w:vAlign w:val="center"/>
          </w:tcPr>
          <w:p w:rsidR="003F4D3C" w:rsidRDefault="003F4D3C" w:rsidP="00553766">
            <w:pPr>
              <w:spacing w:line="240" w:lineRule="exact"/>
              <w:rPr>
                <w:rFonts w:eastAsia="仿宋_GB2312" w:hint="eastAsia"/>
              </w:rPr>
            </w:pPr>
            <w:r>
              <w:rPr>
                <w:rFonts w:eastAsia="仿宋_GB2312" w:hint="eastAsia"/>
              </w:rPr>
              <w:t>省重大项目、优选项目开工率</w:t>
            </w:r>
            <w:r>
              <w:rPr>
                <w:rFonts w:eastAsia="仿宋_GB2312" w:hint="eastAsia"/>
              </w:rPr>
              <w:t>100%</w:t>
            </w:r>
            <w:r>
              <w:rPr>
                <w:rFonts w:eastAsia="仿宋_GB2312" w:hint="eastAsia"/>
              </w:rPr>
              <w:t>，市重大项目</w:t>
            </w:r>
            <w:r>
              <w:rPr>
                <w:rFonts w:eastAsia="仿宋_GB2312" w:hint="eastAsia"/>
              </w:rPr>
              <w:t>31</w:t>
            </w:r>
            <w:r>
              <w:rPr>
                <w:rFonts w:eastAsia="仿宋_GB2312" w:hint="eastAsia"/>
              </w:rPr>
              <w:t>个开工</w:t>
            </w:r>
            <w:r>
              <w:rPr>
                <w:rFonts w:eastAsia="仿宋_GB2312" w:hint="eastAsia"/>
              </w:rPr>
              <w:t>,</w:t>
            </w:r>
            <w:r>
              <w:rPr>
                <w:rFonts w:eastAsia="仿宋_GB2312" w:hint="eastAsia"/>
              </w:rPr>
              <w:t>规上企业复工复产率</w:t>
            </w:r>
            <w:r>
              <w:rPr>
                <w:rFonts w:eastAsia="仿宋_GB2312" w:hint="eastAsia"/>
              </w:rPr>
              <w:t>100%</w:t>
            </w:r>
            <w:r>
              <w:rPr>
                <w:rFonts w:eastAsia="仿宋_GB2312" w:hint="eastAsia"/>
              </w:rPr>
              <w:t>。</w:t>
            </w:r>
          </w:p>
          <w:p w:rsidR="003F4D3C" w:rsidRDefault="003F4D3C" w:rsidP="00553766">
            <w:pPr>
              <w:spacing w:line="240" w:lineRule="exact"/>
              <w:rPr>
                <w:rFonts w:eastAsia="仿宋_GB2312" w:hint="eastAsia"/>
              </w:rPr>
            </w:pPr>
          </w:p>
        </w:tc>
        <w:tc>
          <w:tcPr>
            <w:tcW w:w="1489" w:type="dxa"/>
            <w:vAlign w:val="center"/>
          </w:tcPr>
          <w:p w:rsidR="003F4D3C" w:rsidRDefault="003F4D3C" w:rsidP="00553766">
            <w:pPr>
              <w:spacing w:line="240" w:lineRule="exact"/>
              <w:rPr>
                <w:rFonts w:eastAsia="仿宋_GB2312" w:hint="eastAsia"/>
              </w:rPr>
            </w:pPr>
            <w:r>
              <w:rPr>
                <w:rFonts w:eastAsia="仿宋_GB2312" w:hint="eastAsia"/>
              </w:rPr>
              <w:t>53</w:t>
            </w:r>
            <w:r>
              <w:rPr>
                <w:rFonts w:eastAsia="仿宋_GB2312" w:hint="eastAsia"/>
              </w:rPr>
              <w:t>个区重点项目中</w:t>
            </w:r>
            <w:r>
              <w:rPr>
                <w:rFonts w:eastAsia="仿宋_GB2312" w:hint="eastAsia"/>
              </w:rPr>
              <w:t>30</w:t>
            </w:r>
            <w:r>
              <w:rPr>
                <w:rFonts w:eastAsia="仿宋_GB2312" w:hint="eastAsia"/>
              </w:rPr>
              <w:t>个项目开工。</w:t>
            </w:r>
          </w:p>
          <w:p w:rsidR="003F4D3C" w:rsidRDefault="003F4D3C" w:rsidP="00553766">
            <w:pPr>
              <w:spacing w:line="240" w:lineRule="exact"/>
              <w:rPr>
                <w:rFonts w:eastAsia="仿宋_GB2312" w:hint="eastAsia"/>
              </w:rPr>
            </w:pPr>
          </w:p>
        </w:tc>
        <w:tc>
          <w:tcPr>
            <w:tcW w:w="1489" w:type="dxa"/>
            <w:vAlign w:val="center"/>
          </w:tcPr>
          <w:p w:rsidR="003F4D3C" w:rsidRDefault="003F4D3C" w:rsidP="00553766">
            <w:pPr>
              <w:spacing w:line="240" w:lineRule="exact"/>
              <w:rPr>
                <w:rFonts w:eastAsia="仿宋_GB2312" w:hint="eastAsia"/>
              </w:rPr>
            </w:pPr>
            <w:r>
              <w:rPr>
                <w:rFonts w:eastAsia="仿宋_GB2312" w:hint="eastAsia"/>
              </w:rPr>
              <w:t>印发《周村区“六保三促”工作方案》，全力抓好产业链复产达产。</w:t>
            </w:r>
          </w:p>
          <w:p w:rsidR="003F4D3C" w:rsidRDefault="003F4D3C" w:rsidP="003F4D3C">
            <w:pPr>
              <w:spacing w:line="240" w:lineRule="exact"/>
              <w:rPr>
                <w:rFonts w:eastAsia="仿宋_GB2312" w:hint="eastAsia"/>
              </w:rPr>
            </w:pPr>
          </w:p>
        </w:tc>
        <w:tc>
          <w:tcPr>
            <w:tcW w:w="1489" w:type="dxa"/>
            <w:vAlign w:val="center"/>
          </w:tcPr>
          <w:p w:rsidR="003F4D3C" w:rsidRDefault="003F4D3C" w:rsidP="003F4D3C">
            <w:pPr>
              <w:spacing w:line="240" w:lineRule="exact"/>
              <w:rPr>
                <w:rFonts w:eastAsia="仿宋_GB2312" w:hint="eastAsia"/>
              </w:rPr>
            </w:pPr>
            <w:r>
              <w:rPr>
                <w:rFonts w:eastAsia="仿宋_GB2312" w:hint="eastAsia"/>
              </w:rPr>
              <w:t>固定资产增长</w:t>
            </w:r>
            <w:r>
              <w:rPr>
                <w:rFonts w:eastAsia="仿宋_GB2312" w:hint="eastAsia"/>
              </w:rPr>
              <w:t>15%</w:t>
            </w:r>
            <w:r>
              <w:rPr>
                <w:rFonts w:eastAsia="仿宋_GB2312" w:hint="eastAsia"/>
              </w:rPr>
              <w:t>以上，及时为企业兑现城市基础设施配套费缓缴等优惠政策。</w:t>
            </w:r>
          </w:p>
        </w:tc>
        <w:tc>
          <w:tcPr>
            <w:tcW w:w="1489" w:type="dxa"/>
            <w:vAlign w:val="center"/>
          </w:tcPr>
          <w:p w:rsidR="003F4D3C" w:rsidRDefault="003F4D3C" w:rsidP="008B200F">
            <w:pPr>
              <w:spacing w:line="240" w:lineRule="exact"/>
              <w:jc w:val="center"/>
              <w:rPr>
                <w:rFonts w:eastAsia="仿宋_GB2312" w:hint="eastAsia"/>
              </w:rPr>
            </w:pPr>
            <w:r>
              <w:rPr>
                <w:rFonts w:eastAsia="仿宋_GB2312" w:hint="eastAsia"/>
              </w:rPr>
              <w:t>重点项目保障服务中心</w:t>
            </w:r>
          </w:p>
        </w:tc>
        <w:tc>
          <w:tcPr>
            <w:tcW w:w="1489" w:type="dxa"/>
            <w:vAlign w:val="center"/>
          </w:tcPr>
          <w:p w:rsidR="003F4D3C" w:rsidRDefault="003F4D3C" w:rsidP="003F4D3C">
            <w:pPr>
              <w:spacing w:line="240" w:lineRule="exact"/>
              <w:jc w:val="center"/>
              <w:rPr>
                <w:rFonts w:eastAsia="仿宋_GB2312" w:hint="eastAsia"/>
              </w:rPr>
            </w:pPr>
            <w:r>
              <w:rPr>
                <w:rFonts w:eastAsia="仿宋_GB2312" w:hint="eastAsia"/>
              </w:rPr>
              <w:t>监督电话：</w:t>
            </w:r>
            <w:r>
              <w:rPr>
                <w:rFonts w:eastAsia="仿宋_GB2312" w:hint="eastAsia"/>
              </w:rPr>
              <w:t>6195198</w:t>
            </w:r>
          </w:p>
        </w:tc>
      </w:tr>
      <w:tr w:rsidR="003F4D3C" w:rsidTr="003F4D3C">
        <w:trPr>
          <w:trHeight w:val="3116"/>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lastRenderedPageBreak/>
              <w:t>3</w:t>
            </w:r>
          </w:p>
        </w:tc>
        <w:tc>
          <w:tcPr>
            <w:tcW w:w="1657" w:type="dxa"/>
            <w:vAlign w:val="center"/>
          </w:tcPr>
          <w:p w:rsidR="003F4D3C" w:rsidRDefault="003F4D3C" w:rsidP="00553766">
            <w:pPr>
              <w:spacing w:line="240" w:lineRule="exact"/>
              <w:rPr>
                <w:rFonts w:eastAsia="仿宋_GB2312" w:hint="eastAsia"/>
              </w:rPr>
            </w:pPr>
            <w:r>
              <w:rPr>
                <w:rFonts w:eastAsia="仿宋_GB2312" w:hint="eastAsia"/>
              </w:rPr>
              <w:t>抢抓宏观政策机遇，做好政策资金争取和重大项目申报，抓紧布局新型基础设施建设，全力扩大有效投资、缓解外贸冲击、提振社会消费，推动经济社会运行稳中向好。</w:t>
            </w:r>
          </w:p>
        </w:tc>
        <w:tc>
          <w:tcPr>
            <w:tcW w:w="3194" w:type="dxa"/>
            <w:vAlign w:val="center"/>
          </w:tcPr>
          <w:p w:rsidR="003F4D3C" w:rsidRDefault="003F4D3C" w:rsidP="00553766">
            <w:pPr>
              <w:spacing w:line="240" w:lineRule="exact"/>
              <w:rPr>
                <w:rFonts w:eastAsia="仿宋_GB2312" w:hint="eastAsia"/>
              </w:rPr>
            </w:pPr>
            <w:r>
              <w:rPr>
                <w:rFonts w:eastAsia="仿宋_GB2312" w:hint="eastAsia"/>
              </w:rPr>
              <w:t>制定《周村区新旧动能转换重大工程工作要点》《关于进一步加严压实专班责任推动新旧动能转换重点任务落地见效的意见》等文件，加强牵头抓总的作用，落实专班责任。加大对上衔接力度，争取更多的项目列入省、市重大项目盘子。</w:t>
            </w:r>
          </w:p>
        </w:tc>
        <w:tc>
          <w:tcPr>
            <w:tcW w:w="1488" w:type="dxa"/>
            <w:vAlign w:val="center"/>
          </w:tcPr>
          <w:p w:rsidR="003F4D3C" w:rsidRDefault="003F4D3C" w:rsidP="00553766">
            <w:pPr>
              <w:spacing w:line="240" w:lineRule="exact"/>
              <w:rPr>
                <w:rFonts w:eastAsia="仿宋_GB2312"/>
              </w:rPr>
            </w:pPr>
            <w:r>
              <w:rPr>
                <w:rFonts w:eastAsia="仿宋_GB2312" w:hint="eastAsia"/>
              </w:rPr>
              <w:t>及时把握</w:t>
            </w:r>
            <w:r>
              <w:rPr>
                <w:rFonts w:eastAsia="仿宋_GB2312" w:hint="eastAsia"/>
              </w:rPr>
              <w:t>2020</w:t>
            </w:r>
            <w:r>
              <w:rPr>
                <w:rFonts w:eastAsia="仿宋_GB2312" w:hint="eastAsia"/>
              </w:rPr>
              <w:t>年城区老工业区搬迁改造扶持方向和</w:t>
            </w:r>
            <w:r>
              <w:rPr>
                <w:rFonts w:eastAsia="仿宋_GB2312" w:hint="eastAsia"/>
              </w:rPr>
              <w:t>2020</w:t>
            </w:r>
            <w:r>
              <w:rPr>
                <w:rFonts w:eastAsia="仿宋_GB2312" w:hint="eastAsia"/>
              </w:rPr>
              <w:t>年省第二批优选项目、省“双招双引”重点签约项目和省强弱项补短板项目的基本要求，积极谋划省级项目；做好对上争取工作。</w:t>
            </w:r>
          </w:p>
        </w:tc>
        <w:tc>
          <w:tcPr>
            <w:tcW w:w="1489" w:type="dxa"/>
            <w:vAlign w:val="center"/>
          </w:tcPr>
          <w:p w:rsidR="003F4D3C" w:rsidRDefault="003F4D3C" w:rsidP="00553766">
            <w:pPr>
              <w:spacing w:line="240" w:lineRule="exact"/>
              <w:rPr>
                <w:rFonts w:eastAsia="仿宋_GB2312"/>
              </w:rPr>
            </w:pPr>
            <w:r>
              <w:rPr>
                <w:rFonts w:eastAsia="仿宋_GB2312" w:hint="eastAsia"/>
              </w:rPr>
              <w:t>积极谋划符合城区老工业区搬迁改造扶持发展的项目以及省优选、省“双招双引”、省强弱项补短板项目，策划包装；做好对上争取工作。</w:t>
            </w:r>
          </w:p>
        </w:tc>
        <w:tc>
          <w:tcPr>
            <w:tcW w:w="1489" w:type="dxa"/>
            <w:vAlign w:val="center"/>
          </w:tcPr>
          <w:p w:rsidR="003F4D3C" w:rsidRDefault="003F4D3C" w:rsidP="00553766">
            <w:pPr>
              <w:spacing w:line="240" w:lineRule="exact"/>
              <w:rPr>
                <w:rFonts w:eastAsia="黑体"/>
              </w:rPr>
            </w:pPr>
            <w:r>
              <w:rPr>
                <w:rFonts w:eastAsia="仿宋_GB2312" w:hint="eastAsia"/>
              </w:rPr>
              <w:t>积极与国家、省、市对接，加强政策争取。争取</w:t>
            </w:r>
            <w:r>
              <w:rPr>
                <w:rFonts w:eastAsia="仿宋_GB2312" w:hint="eastAsia"/>
              </w:rPr>
              <w:t>35</w:t>
            </w:r>
            <w:r>
              <w:rPr>
                <w:rFonts w:eastAsia="仿宋_GB2312" w:hint="eastAsia"/>
              </w:rPr>
              <w:t>个以上项目列入市重大项目。</w:t>
            </w:r>
          </w:p>
        </w:tc>
        <w:tc>
          <w:tcPr>
            <w:tcW w:w="1489" w:type="dxa"/>
            <w:vAlign w:val="center"/>
          </w:tcPr>
          <w:p w:rsidR="003F4D3C" w:rsidRDefault="003F4D3C" w:rsidP="00553766">
            <w:pPr>
              <w:spacing w:line="240" w:lineRule="exact"/>
              <w:rPr>
                <w:rFonts w:eastAsia="黑体"/>
              </w:rPr>
            </w:pPr>
            <w:r>
              <w:rPr>
                <w:rFonts w:eastAsia="仿宋_GB2312" w:hint="eastAsia"/>
              </w:rPr>
              <w:t>根据上级通知要求，聘请市工程咨询院编制项目资金申请报告，参加项目评审。加大对上争取力度。</w:t>
            </w:r>
          </w:p>
        </w:tc>
        <w:tc>
          <w:tcPr>
            <w:tcW w:w="1489" w:type="dxa"/>
            <w:vAlign w:val="center"/>
          </w:tcPr>
          <w:p w:rsidR="003F4D3C" w:rsidRDefault="003F4D3C" w:rsidP="008B200F">
            <w:pPr>
              <w:spacing w:line="240" w:lineRule="exact"/>
              <w:jc w:val="center"/>
              <w:rPr>
                <w:rFonts w:eastAsia="仿宋_GB2312" w:hint="eastAsia"/>
              </w:rPr>
            </w:pPr>
            <w:r>
              <w:rPr>
                <w:rFonts w:eastAsia="仿宋_GB2312" w:hint="eastAsia"/>
              </w:rPr>
              <w:t>动能科</w:t>
            </w:r>
          </w:p>
        </w:tc>
        <w:tc>
          <w:tcPr>
            <w:tcW w:w="1489" w:type="dxa"/>
            <w:vAlign w:val="center"/>
          </w:tcPr>
          <w:p w:rsidR="003F4D3C" w:rsidRDefault="003F4D3C" w:rsidP="003F4D3C">
            <w:pPr>
              <w:spacing w:line="240" w:lineRule="exact"/>
              <w:jc w:val="center"/>
              <w:rPr>
                <w:rFonts w:eastAsia="仿宋_GB2312" w:hint="eastAsia"/>
              </w:rPr>
            </w:pPr>
            <w:r>
              <w:rPr>
                <w:rFonts w:eastAsia="仿宋_GB2312" w:hint="eastAsia"/>
              </w:rPr>
              <w:t>监督电话：</w:t>
            </w:r>
            <w:r>
              <w:rPr>
                <w:rFonts w:eastAsia="仿宋_GB2312" w:hint="eastAsia"/>
              </w:rPr>
              <w:t>6195388</w:t>
            </w:r>
          </w:p>
        </w:tc>
      </w:tr>
      <w:tr w:rsidR="003F4D3C" w:rsidTr="003F4D3C">
        <w:trPr>
          <w:trHeight w:val="3116"/>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t>4</w:t>
            </w:r>
          </w:p>
        </w:tc>
        <w:tc>
          <w:tcPr>
            <w:tcW w:w="1657" w:type="dxa"/>
            <w:vAlign w:val="center"/>
          </w:tcPr>
          <w:p w:rsidR="003F4D3C" w:rsidRDefault="003F4D3C" w:rsidP="00553766">
            <w:pPr>
              <w:spacing w:line="260" w:lineRule="exact"/>
              <w:rPr>
                <w:rFonts w:eastAsia="仿宋_GB2312" w:hint="eastAsia"/>
              </w:rPr>
            </w:pPr>
            <w:r>
              <w:rPr>
                <w:rFonts w:eastAsia="仿宋_GB2312" w:hint="eastAsia"/>
              </w:rPr>
              <w:t>扎实推进总投资</w:t>
            </w:r>
            <w:r>
              <w:rPr>
                <w:rFonts w:eastAsia="仿宋_GB2312" w:hint="eastAsia"/>
              </w:rPr>
              <w:t>6.3</w:t>
            </w:r>
            <w:r>
              <w:rPr>
                <w:rFonts w:eastAsia="仿宋_GB2312" w:hint="eastAsia"/>
              </w:rPr>
              <w:t>亿元的节能环保装备产业园、总投资</w:t>
            </w:r>
            <w:r>
              <w:rPr>
                <w:rFonts w:eastAsia="仿宋_GB2312" w:hint="eastAsia"/>
              </w:rPr>
              <w:t>11</w:t>
            </w:r>
            <w:r>
              <w:rPr>
                <w:rFonts w:eastAsia="仿宋_GB2312" w:hint="eastAsia"/>
              </w:rPr>
              <w:t>亿元的智慧厨电创新产业园、总投资</w:t>
            </w:r>
            <w:r>
              <w:rPr>
                <w:rFonts w:eastAsia="仿宋_GB2312" w:hint="eastAsia"/>
              </w:rPr>
              <w:t>7.4</w:t>
            </w:r>
            <w:r>
              <w:rPr>
                <w:rFonts w:eastAsia="仿宋_GB2312" w:hint="eastAsia"/>
              </w:rPr>
              <w:t>亿元的新华智能制造产业园和总投资</w:t>
            </w:r>
            <w:r>
              <w:rPr>
                <w:rFonts w:eastAsia="仿宋_GB2312" w:hint="eastAsia"/>
              </w:rPr>
              <w:t>7.17</w:t>
            </w:r>
            <w:r>
              <w:rPr>
                <w:rFonts w:eastAsia="仿宋_GB2312" w:hint="eastAsia"/>
              </w:rPr>
              <w:t>亿元的新材料产业园建设，搭建产业聚集的优质载体和平台。</w:t>
            </w:r>
          </w:p>
        </w:tc>
        <w:tc>
          <w:tcPr>
            <w:tcW w:w="3194" w:type="dxa"/>
            <w:vAlign w:val="center"/>
          </w:tcPr>
          <w:p w:rsidR="003F4D3C" w:rsidRDefault="003F4D3C" w:rsidP="00553766">
            <w:pPr>
              <w:spacing w:line="240" w:lineRule="exact"/>
              <w:rPr>
                <w:rFonts w:eastAsia="仿宋_GB2312" w:hint="eastAsia"/>
              </w:rPr>
            </w:pPr>
            <w:r>
              <w:rPr>
                <w:rFonts w:eastAsia="仿宋_GB2312" w:hint="eastAsia"/>
              </w:rPr>
              <w:t>领导挂包、专人负责项目，加大项目协调服务力度，及时解决项目实施过程中遇到的问题困难。</w:t>
            </w:r>
          </w:p>
        </w:tc>
        <w:tc>
          <w:tcPr>
            <w:tcW w:w="1488" w:type="dxa"/>
            <w:vAlign w:val="center"/>
          </w:tcPr>
          <w:p w:rsidR="003F4D3C" w:rsidRDefault="003F4D3C" w:rsidP="00553766">
            <w:pPr>
              <w:spacing w:line="260" w:lineRule="exact"/>
              <w:rPr>
                <w:rFonts w:eastAsia="黑体"/>
              </w:rPr>
            </w:pPr>
            <w:r>
              <w:rPr>
                <w:rFonts w:eastAsia="仿宋_GB2312" w:hint="eastAsia"/>
              </w:rPr>
              <w:t>节能环保装备产业园完成西区雨污管线及配套建设；智慧厨电创新产业园完成前期手续办理；新华智能制造产业园办理相关手续；新材料产业园区祠前路完成路基施工、张古路北段开工建设。</w:t>
            </w:r>
          </w:p>
        </w:tc>
        <w:tc>
          <w:tcPr>
            <w:tcW w:w="1489" w:type="dxa"/>
            <w:vAlign w:val="center"/>
          </w:tcPr>
          <w:p w:rsidR="003F4D3C" w:rsidRDefault="003F4D3C" w:rsidP="00553766">
            <w:pPr>
              <w:spacing w:line="240" w:lineRule="exact"/>
              <w:rPr>
                <w:rFonts w:eastAsia="黑体"/>
              </w:rPr>
            </w:pPr>
            <w:r>
              <w:rPr>
                <w:rFonts w:eastAsia="仿宋_GB2312" w:hint="eastAsia"/>
              </w:rPr>
              <w:t>节能环保装备产业园完成西区雨污管线及配套建设、东区</w:t>
            </w:r>
            <w:r>
              <w:rPr>
                <w:rFonts w:eastAsia="仿宋_GB2312" w:hint="eastAsia"/>
              </w:rPr>
              <w:t>5</w:t>
            </w:r>
            <w:r>
              <w:rPr>
                <w:rFonts w:eastAsia="仿宋_GB2312" w:hint="eastAsia"/>
              </w:rPr>
              <w:t>栋标准厂房完成二次结构</w:t>
            </w:r>
            <w:r>
              <w:rPr>
                <w:rFonts w:eastAsia="仿宋_GB2312" w:hint="eastAsia"/>
              </w:rPr>
              <w:t>,6</w:t>
            </w:r>
            <w:r>
              <w:rPr>
                <w:rFonts w:eastAsia="仿宋_GB2312" w:hint="eastAsia"/>
              </w:rPr>
              <w:t>栋开工建设；智慧厨电创新产业园</w:t>
            </w:r>
            <w:r>
              <w:rPr>
                <w:rFonts w:eastAsia="仿宋_GB2312" w:hint="eastAsia"/>
              </w:rPr>
              <w:t>170</w:t>
            </w:r>
            <w:r>
              <w:rPr>
                <w:rFonts w:eastAsia="仿宋_GB2312" w:hint="eastAsia"/>
              </w:rPr>
              <w:t>亩土地摘牌，主体开工；新华智能制造产业园平整场地，完成招标等；新材料产业园区祠前路和张古路北段完成路床水稳层施工，研发中心进行土建基础施工。</w:t>
            </w:r>
          </w:p>
        </w:tc>
        <w:tc>
          <w:tcPr>
            <w:tcW w:w="1489" w:type="dxa"/>
            <w:vAlign w:val="center"/>
          </w:tcPr>
          <w:p w:rsidR="003F4D3C" w:rsidRDefault="003F4D3C" w:rsidP="00553766">
            <w:pPr>
              <w:spacing w:line="240" w:lineRule="exact"/>
              <w:rPr>
                <w:rFonts w:eastAsia="黑体"/>
              </w:rPr>
            </w:pPr>
            <w:r>
              <w:rPr>
                <w:rFonts w:eastAsia="仿宋_GB2312" w:hint="eastAsia"/>
              </w:rPr>
              <w:t>节能环保装备产业园东区</w:t>
            </w:r>
            <w:r>
              <w:rPr>
                <w:rFonts w:eastAsia="仿宋_GB2312" w:hint="eastAsia"/>
              </w:rPr>
              <w:t>5</w:t>
            </w:r>
            <w:r>
              <w:rPr>
                <w:rFonts w:eastAsia="仿宋_GB2312" w:hint="eastAsia"/>
              </w:rPr>
              <w:t>栋标准厂房进行内外装，</w:t>
            </w:r>
            <w:r>
              <w:rPr>
                <w:rFonts w:eastAsia="仿宋_GB2312" w:hint="eastAsia"/>
              </w:rPr>
              <w:t>6</w:t>
            </w:r>
            <w:r>
              <w:rPr>
                <w:rFonts w:eastAsia="仿宋_GB2312" w:hint="eastAsia"/>
              </w:rPr>
              <w:t>栋标准厂房主体封顶；智慧厨电创新产业园主体完成</w:t>
            </w:r>
            <w:r>
              <w:rPr>
                <w:rFonts w:eastAsia="仿宋_GB2312" w:hint="eastAsia"/>
              </w:rPr>
              <w:t>80%</w:t>
            </w:r>
            <w:r>
              <w:rPr>
                <w:rFonts w:eastAsia="仿宋_GB2312" w:hint="eastAsia"/>
              </w:rPr>
              <w:t>；新华智能制造产业园开工建设；新材料产业园区张古路南段开工建设，研发中心进行土建施工，标准厂房、能源中心开工建设。</w:t>
            </w:r>
          </w:p>
        </w:tc>
        <w:tc>
          <w:tcPr>
            <w:tcW w:w="1489" w:type="dxa"/>
            <w:vAlign w:val="center"/>
          </w:tcPr>
          <w:p w:rsidR="003F4D3C" w:rsidRDefault="003F4D3C" w:rsidP="00553766">
            <w:pPr>
              <w:spacing w:line="240" w:lineRule="exact"/>
              <w:rPr>
                <w:rFonts w:eastAsia="黑体"/>
              </w:rPr>
            </w:pPr>
            <w:r>
              <w:rPr>
                <w:rFonts w:eastAsia="仿宋_GB2312" w:hint="eastAsia"/>
              </w:rPr>
              <w:t>节能环保装备产业园完成</w:t>
            </w:r>
            <w:r>
              <w:rPr>
                <w:rFonts w:eastAsia="仿宋_GB2312" w:hint="eastAsia"/>
              </w:rPr>
              <w:t>6</w:t>
            </w:r>
            <w:r>
              <w:rPr>
                <w:rFonts w:eastAsia="仿宋_GB2312" w:hint="eastAsia"/>
              </w:rPr>
              <w:t>栋内外装及完成东区配套设施施工；智慧厨电创新产业园主体完工，购置设备，建成投用；新华智能制造产业园厂房主体部分完工；新材料产业园区张古路南段建成通车，研发中心、标准厂房、能源中心进行土建施工。</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重点项目保障服务中心</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监督电话：</w:t>
            </w:r>
            <w:r>
              <w:rPr>
                <w:rFonts w:eastAsia="仿宋_GB2312" w:hint="eastAsia"/>
              </w:rPr>
              <w:t>6195198</w:t>
            </w:r>
          </w:p>
        </w:tc>
      </w:tr>
      <w:tr w:rsidR="003F4D3C" w:rsidTr="003F4D3C">
        <w:trPr>
          <w:trHeight w:val="3116"/>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lastRenderedPageBreak/>
              <w:t>5</w:t>
            </w:r>
          </w:p>
        </w:tc>
        <w:tc>
          <w:tcPr>
            <w:tcW w:w="1657" w:type="dxa"/>
            <w:vAlign w:val="center"/>
          </w:tcPr>
          <w:p w:rsidR="003F4D3C" w:rsidRDefault="003F4D3C" w:rsidP="00553766">
            <w:pPr>
              <w:spacing w:line="260" w:lineRule="exact"/>
              <w:rPr>
                <w:rFonts w:eastAsia="仿宋_GB2312" w:hint="eastAsia"/>
              </w:rPr>
            </w:pPr>
            <w:r>
              <w:rPr>
                <w:rFonts w:eastAsia="仿宋_GB2312" w:hint="eastAsia"/>
              </w:rPr>
              <w:t>规划建设周村经济开发区创新创业中心、新材料产业园研发中心、大学城创业创新产业园，完善园区人才公寓、商务服务、物流仓储、金融创新、法律咨询等设施和功能，提升园区配套服务能力。</w:t>
            </w:r>
          </w:p>
        </w:tc>
        <w:tc>
          <w:tcPr>
            <w:tcW w:w="3194" w:type="dxa"/>
            <w:vAlign w:val="center"/>
          </w:tcPr>
          <w:p w:rsidR="003F4D3C" w:rsidRDefault="003F4D3C" w:rsidP="00553766">
            <w:pPr>
              <w:spacing w:line="240" w:lineRule="exact"/>
              <w:rPr>
                <w:rFonts w:eastAsia="仿宋_GB2312" w:hint="eastAsia"/>
              </w:rPr>
            </w:pPr>
            <w:r>
              <w:rPr>
                <w:rFonts w:eastAsia="仿宋_GB2312" w:hint="eastAsia"/>
              </w:rPr>
              <w:t>加快推进项目建设，加大招商引资力度。成立专班，负责项目手续办理，积极推进项目建设。申请专项债券资金，解决项目资金问题。</w:t>
            </w:r>
          </w:p>
        </w:tc>
        <w:tc>
          <w:tcPr>
            <w:tcW w:w="1488" w:type="dxa"/>
            <w:vAlign w:val="center"/>
          </w:tcPr>
          <w:p w:rsidR="003F4D3C" w:rsidRDefault="003F4D3C" w:rsidP="00553766">
            <w:pPr>
              <w:spacing w:line="260" w:lineRule="exact"/>
              <w:rPr>
                <w:rFonts w:eastAsia="仿宋_GB2312" w:hint="eastAsia"/>
              </w:rPr>
            </w:pPr>
            <w:r>
              <w:rPr>
                <w:rFonts w:eastAsia="仿宋_GB2312" w:hint="eastAsia"/>
              </w:rPr>
              <w:t>节能环保装备产业园完成规划方案设计；新材料产业园研发中心完成场地清表，临时设施建设，基坑土方开挖、支护；推进大学城创业创新产业园二期内外装，完善配套设施</w:t>
            </w:r>
            <w:r>
              <w:rPr>
                <w:rFonts w:eastAsia="仿宋_GB2312"/>
              </w:rPr>
              <w:t>。</w:t>
            </w:r>
          </w:p>
        </w:tc>
        <w:tc>
          <w:tcPr>
            <w:tcW w:w="1489" w:type="dxa"/>
            <w:vAlign w:val="center"/>
          </w:tcPr>
          <w:p w:rsidR="003F4D3C" w:rsidRDefault="003F4D3C" w:rsidP="00553766">
            <w:pPr>
              <w:spacing w:line="240" w:lineRule="exact"/>
              <w:rPr>
                <w:rFonts w:eastAsia="仿宋_GB2312" w:hint="eastAsia"/>
              </w:rPr>
            </w:pPr>
            <w:r>
              <w:rPr>
                <w:rFonts w:eastAsia="仿宋_GB2312" w:hint="eastAsia"/>
              </w:rPr>
              <w:t>节能环保装备产业园申请新增建设用地指标，完成</w:t>
            </w:r>
            <w:r>
              <w:rPr>
                <w:rFonts w:eastAsia="仿宋_GB2312" w:hint="eastAsia"/>
              </w:rPr>
              <w:t>EPC</w:t>
            </w:r>
            <w:r>
              <w:rPr>
                <w:rFonts w:eastAsia="仿宋_GB2312" w:hint="eastAsia"/>
              </w:rPr>
              <w:t>总承包及监理招标；新材料产业园研发中心完成设计、施工招标，基槽基础施工完成；大学城创业创新产业园基本完成二期内外装和配套设施</w:t>
            </w:r>
            <w:r>
              <w:rPr>
                <w:rFonts w:eastAsia="仿宋_GB2312"/>
              </w:rPr>
              <w:t>。</w:t>
            </w:r>
          </w:p>
        </w:tc>
        <w:tc>
          <w:tcPr>
            <w:tcW w:w="1489" w:type="dxa"/>
            <w:vAlign w:val="center"/>
          </w:tcPr>
          <w:p w:rsidR="003F4D3C" w:rsidRDefault="003F4D3C" w:rsidP="00553766">
            <w:pPr>
              <w:spacing w:line="240" w:lineRule="exact"/>
              <w:rPr>
                <w:rFonts w:eastAsia="仿宋_GB2312" w:hint="eastAsia"/>
              </w:rPr>
            </w:pPr>
            <w:r>
              <w:rPr>
                <w:rFonts w:eastAsia="仿宋_GB2312" w:hint="eastAsia"/>
              </w:rPr>
              <w:t>节能环保装备产业园完成项目建设各项手续办理并开工建设；新材料产业园研发中心±</w:t>
            </w:r>
            <w:r>
              <w:rPr>
                <w:rFonts w:eastAsia="仿宋_GB2312" w:hint="eastAsia"/>
              </w:rPr>
              <w:t>0</w:t>
            </w:r>
            <w:r>
              <w:rPr>
                <w:rFonts w:eastAsia="仿宋_GB2312" w:hint="eastAsia"/>
              </w:rPr>
              <w:t>层以下基础施工完成，主体结构施工完成三层；大学城创业创新产业园达到入驻条件</w:t>
            </w:r>
            <w:r>
              <w:rPr>
                <w:rFonts w:eastAsia="仿宋_GB2312"/>
              </w:rPr>
              <w:t>。</w:t>
            </w:r>
          </w:p>
        </w:tc>
        <w:tc>
          <w:tcPr>
            <w:tcW w:w="1489" w:type="dxa"/>
            <w:vAlign w:val="center"/>
          </w:tcPr>
          <w:p w:rsidR="003F4D3C" w:rsidRDefault="003F4D3C" w:rsidP="00553766">
            <w:pPr>
              <w:spacing w:line="240" w:lineRule="exact"/>
              <w:rPr>
                <w:rFonts w:eastAsia="仿宋_GB2312" w:hint="eastAsia"/>
              </w:rPr>
            </w:pPr>
            <w:r>
              <w:rPr>
                <w:rFonts w:eastAsia="仿宋_GB2312" w:hint="eastAsia"/>
              </w:rPr>
              <w:t>节能环保装备产业园完成主体施工；新材料产业园研发中心主体施工完成，二次结构及水电安装预埋完成；争取部分企业入驻大学城创业创新产业园</w:t>
            </w:r>
            <w:r>
              <w:rPr>
                <w:rFonts w:eastAsia="仿宋_GB2312"/>
              </w:rPr>
              <w:t>。</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重点项目保障服务中心</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监督电话：</w:t>
            </w:r>
            <w:r>
              <w:rPr>
                <w:rFonts w:eastAsia="仿宋_GB2312" w:hint="eastAsia"/>
              </w:rPr>
              <w:t>6195198</w:t>
            </w:r>
          </w:p>
        </w:tc>
      </w:tr>
      <w:tr w:rsidR="003F4D3C" w:rsidTr="003F4D3C">
        <w:trPr>
          <w:trHeight w:val="3116"/>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t>6</w:t>
            </w:r>
          </w:p>
        </w:tc>
        <w:tc>
          <w:tcPr>
            <w:tcW w:w="1657" w:type="dxa"/>
            <w:vAlign w:val="center"/>
          </w:tcPr>
          <w:p w:rsidR="003F4D3C" w:rsidRDefault="003F4D3C" w:rsidP="00553766">
            <w:pPr>
              <w:spacing w:line="260" w:lineRule="exact"/>
              <w:rPr>
                <w:rFonts w:eastAsia="仿宋_GB2312" w:hint="eastAsia"/>
              </w:rPr>
            </w:pPr>
            <w:r>
              <w:rPr>
                <w:rFonts w:eastAsia="仿宋_GB2312" w:hint="eastAsia"/>
              </w:rPr>
              <w:t>力争在园区布局重大产业项目</w:t>
            </w:r>
            <w:r>
              <w:rPr>
                <w:rFonts w:eastAsia="仿宋_GB2312" w:hint="eastAsia"/>
              </w:rPr>
              <w:t>37</w:t>
            </w:r>
            <w:r>
              <w:rPr>
                <w:rFonts w:eastAsia="仿宋_GB2312" w:hint="eastAsia"/>
              </w:rPr>
              <w:t>个以上，完成投资</w:t>
            </w:r>
            <w:r>
              <w:rPr>
                <w:rFonts w:eastAsia="仿宋_GB2312" w:hint="eastAsia"/>
              </w:rPr>
              <w:t>53</w:t>
            </w:r>
            <w:r>
              <w:rPr>
                <w:rFonts w:eastAsia="仿宋_GB2312" w:hint="eastAsia"/>
              </w:rPr>
              <w:t>亿元以上。</w:t>
            </w:r>
          </w:p>
        </w:tc>
        <w:tc>
          <w:tcPr>
            <w:tcW w:w="3194" w:type="dxa"/>
            <w:vAlign w:val="center"/>
          </w:tcPr>
          <w:p w:rsidR="003F4D3C" w:rsidRDefault="003F4D3C" w:rsidP="00553766">
            <w:pPr>
              <w:spacing w:line="260" w:lineRule="exact"/>
              <w:rPr>
                <w:rFonts w:eastAsia="仿宋_GB2312" w:hint="eastAsia"/>
              </w:rPr>
            </w:pPr>
            <w:r>
              <w:rPr>
                <w:rFonts w:eastAsia="仿宋_GB2312" w:hint="eastAsia"/>
              </w:rPr>
              <w:t>①持续加快园区建设和功能配套，尽快把园区平台的承载力和综合服务能力提升起来，形成对企业、项目的有效吸引力。</w:t>
            </w:r>
          </w:p>
          <w:p w:rsidR="003F4D3C" w:rsidRDefault="003F4D3C" w:rsidP="00553766">
            <w:pPr>
              <w:spacing w:line="260" w:lineRule="exact"/>
              <w:rPr>
                <w:rFonts w:eastAsia="仿宋_GB2312" w:hint="eastAsia"/>
              </w:rPr>
            </w:pPr>
            <w:r>
              <w:rPr>
                <w:rFonts w:eastAsia="仿宋_GB2312" w:hint="eastAsia"/>
              </w:rPr>
              <w:t>②对区内企业投资项目、招商引资项目集中向园区布局，尽快提升园区集约集聚水平。</w:t>
            </w:r>
          </w:p>
        </w:tc>
        <w:tc>
          <w:tcPr>
            <w:tcW w:w="1488" w:type="dxa"/>
            <w:vAlign w:val="center"/>
          </w:tcPr>
          <w:p w:rsidR="003F4D3C" w:rsidRDefault="003F4D3C" w:rsidP="00553766">
            <w:pPr>
              <w:spacing w:line="260" w:lineRule="exact"/>
              <w:rPr>
                <w:rFonts w:eastAsia="黑体"/>
              </w:rPr>
            </w:pPr>
            <w:r>
              <w:rPr>
                <w:rFonts w:eastAsia="仿宋_GB2312" w:hint="eastAsia"/>
              </w:rPr>
              <w:t>园区布局重大产业项目</w:t>
            </w:r>
            <w:r>
              <w:rPr>
                <w:rFonts w:eastAsia="仿宋_GB2312" w:hint="eastAsia"/>
              </w:rPr>
              <w:t>30</w:t>
            </w:r>
            <w:r>
              <w:rPr>
                <w:rFonts w:eastAsia="仿宋_GB2312" w:hint="eastAsia"/>
              </w:rPr>
              <w:t>个以上，完成投资</w:t>
            </w:r>
            <w:r>
              <w:rPr>
                <w:rFonts w:eastAsia="仿宋_GB2312" w:hint="eastAsia"/>
              </w:rPr>
              <w:t>5.8</w:t>
            </w:r>
            <w:r>
              <w:rPr>
                <w:rFonts w:eastAsia="仿宋_GB2312" w:hint="eastAsia"/>
              </w:rPr>
              <w:t>亿元以上。</w:t>
            </w:r>
          </w:p>
        </w:tc>
        <w:tc>
          <w:tcPr>
            <w:tcW w:w="1489" w:type="dxa"/>
            <w:vAlign w:val="center"/>
          </w:tcPr>
          <w:p w:rsidR="003F4D3C" w:rsidRDefault="003F4D3C" w:rsidP="00553766">
            <w:pPr>
              <w:spacing w:line="260" w:lineRule="exact"/>
              <w:rPr>
                <w:rFonts w:eastAsia="黑体"/>
              </w:rPr>
            </w:pPr>
            <w:r>
              <w:rPr>
                <w:rFonts w:eastAsia="仿宋_GB2312" w:hint="eastAsia"/>
              </w:rPr>
              <w:t>园区布局重大产业项目</w:t>
            </w:r>
            <w:r>
              <w:rPr>
                <w:rFonts w:eastAsia="仿宋_GB2312" w:hint="eastAsia"/>
              </w:rPr>
              <w:t>30</w:t>
            </w:r>
            <w:r>
              <w:rPr>
                <w:rFonts w:eastAsia="仿宋_GB2312" w:hint="eastAsia"/>
              </w:rPr>
              <w:t>个以上，完成投资</w:t>
            </w:r>
            <w:r>
              <w:rPr>
                <w:rFonts w:eastAsia="仿宋_GB2312" w:hint="eastAsia"/>
              </w:rPr>
              <w:t>16</w:t>
            </w:r>
            <w:r>
              <w:rPr>
                <w:rFonts w:eastAsia="仿宋_GB2312" w:hint="eastAsia"/>
              </w:rPr>
              <w:t>亿元以上。</w:t>
            </w:r>
          </w:p>
        </w:tc>
        <w:tc>
          <w:tcPr>
            <w:tcW w:w="1489" w:type="dxa"/>
            <w:vAlign w:val="center"/>
          </w:tcPr>
          <w:p w:rsidR="003F4D3C" w:rsidRDefault="003F4D3C" w:rsidP="00553766">
            <w:pPr>
              <w:spacing w:line="260" w:lineRule="exact"/>
              <w:rPr>
                <w:rFonts w:eastAsia="黑体"/>
              </w:rPr>
            </w:pPr>
            <w:r>
              <w:rPr>
                <w:rFonts w:eastAsia="仿宋_GB2312" w:hint="eastAsia"/>
              </w:rPr>
              <w:t>园区布局重大产业项目</w:t>
            </w:r>
            <w:r>
              <w:rPr>
                <w:rFonts w:eastAsia="仿宋_GB2312" w:hint="eastAsia"/>
              </w:rPr>
              <w:t>37</w:t>
            </w:r>
            <w:r>
              <w:rPr>
                <w:rFonts w:eastAsia="仿宋_GB2312" w:hint="eastAsia"/>
              </w:rPr>
              <w:t>个以上，完成投资</w:t>
            </w:r>
            <w:r>
              <w:rPr>
                <w:rFonts w:eastAsia="仿宋_GB2312" w:hint="eastAsia"/>
              </w:rPr>
              <w:t>30</w:t>
            </w:r>
            <w:r>
              <w:rPr>
                <w:rFonts w:eastAsia="仿宋_GB2312" w:hint="eastAsia"/>
              </w:rPr>
              <w:t>亿元以上。</w:t>
            </w:r>
          </w:p>
        </w:tc>
        <w:tc>
          <w:tcPr>
            <w:tcW w:w="1489" w:type="dxa"/>
            <w:vAlign w:val="center"/>
          </w:tcPr>
          <w:p w:rsidR="003F4D3C" w:rsidRDefault="003F4D3C" w:rsidP="00553766">
            <w:pPr>
              <w:spacing w:line="260" w:lineRule="exact"/>
              <w:rPr>
                <w:rFonts w:eastAsia="黑体"/>
              </w:rPr>
            </w:pPr>
            <w:r>
              <w:rPr>
                <w:rFonts w:eastAsia="仿宋_GB2312" w:hint="eastAsia"/>
              </w:rPr>
              <w:t>园区布局重大产业项目</w:t>
            </w:r>
            <w:r>
              <w:rPr>
                <w:rFonts w:eastAsia="仿宋_GB2312" w:hint="eastAsia"/>
              </w:rPr>
              <w:t>37</w:t>
            </w:r>
            <w:r>
              <w:rPr>
                <w:rFonts w:eastAsia="仿宋_GB2312" w:hint="eastAsia"/>
              </w:rPr>
              <w:t>个以上，完成投资</w:t>
            </w:r>
            <w:r>
              <w:rPr>
                <w:rFonts w:eastAsia="仿宋_GB2312" w:hint="eastAsia"/>
              </w:rPr>
              <w:t>53</w:t>
            </w:r>
            <w:r>
              <w:rPr>
                <w:rFonts w:eastAsia="仿宋_GB2312" w:hint="eastAsia"/>
              </w:rPr>
              <w:t>亿元以上。</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重点项目保障服务中心</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监督电话：</w:t>
            </w:r>
            <w:r>
              <w:rPr>
                <w:rFonts w:eastAsia="仿宋_GB2312" w:hint="eastAsia"/>
              </w:rPr>
              <w:t>6195198</w:t>
            </w:r>
          </w:p>
        </w:tc>
      </w:tr>
      <w:tr w:rsidR="003F4D3C" w:rsidTr="003F4D3C">
        <w:trPr>
          <w:trHeight w:val="3116"/>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lastRenderedPageBreak/>
              <w:t>7</w:t>
            </w:r>
          </w:p>
        </w:tc>
        <w:tc>
          <w:tcPr>
            <w:tcW w:w="1657" w:type="dxa"/>
            <w:vAlign w:val="center"/>
          </w:tcPr>
          <w:p w:rsidR="003F4D3C" w:rsidRDefault="003F4D3C" w:rsidP="00553766">
            <w:pPr>
              <w:spacing w:line="240" w:lineRule="exact"/>
              <w:rPr>
                <w:rFonts w:eastAsia="仿宋_GB2312"/>
              </w:rPr>
            </w:pPr>
            <w:r>
              <w:rPr>
                <w:rFonts w:eastAsia="仿宋_GB2312"/>
              </w:rPr>
              <w:t>强化道路、建筑工地等领域扬尘污染防治及重型柴油车、渣土车等移动污染源管控，</w:t>
            </w:r>
            <w:r>
              <w:rPr>
                <w:rFonts w:eastAsia="仿宋_GB2312" w:hint="eastAsia"/>
              </w:rPr>
              <w:t>深入推进高效煤粉锅炉关停淘汰或清洁燃料替代。</w:t>
            </w:r>
          </w:p>
        </w:tc>
        <w:tc>
          <w:tcPr>
            <w:tcW w:w="3194" w:type="dxa"/>
            <w:vAlign w:val="center"/>
          </w:tcPr>
          <w:p w:rsidR="003F4D3C" w:rsidRDefault="003F4D3C" w:rsidP="00553766">
            <w:pPr>
              <w:spacing w:line="240" w:lineRule="exact"/>
              <w:rPr>
                <w:rFonts w:eastAsia="仿宋_GB2312" w:hint="eastAsia"/>
              </w:rPr>
            </w:pPr>
            <w:r>
              <w:rPr>
                <w:rFonts w:eastAsia="仿宋_GB2312" w:hint="eastAsia"/>
              </w:rPr>
              <w:t>①</w:t>
            </w:r>
            <w:r>
              <w:rPr>
                <w:rFonts w:eastAsia="仿宋_GB2312"/>
              </w:rPr>
              <w:t>加强施工扬尘污染防治</w:t>
            </w:r>
            <w:r>
              <w:rPr>
                <w:rFonts w:eastAsia="仿宋_GB2312" w:hint="eastAsia"/>
              </w:rPr>
              <w:t>执法检查工作</w:t>
            </w:r>
            <w:r>
              <w:rPr>
                <w:rFonts w:eastAsia="仿宋_GB2312"/>
              </w:rPr>
              <w:t>，</w:t>
            </w:r>
            <w:r>
              <w:rPr>
                <w:rFonts w:eastAsia="仿宋_GB2312" w:hint="eastAsia"/>
              </w:rPr>
              <w:t>加大巡查检查频次，严格处罚扬尘治理不达标的相关责任单位。</w:t>
            </w:r>
          </w:p>
          <w:p w:rsidR="003F4D3C" w:rsidRDefault="003F4D3C" w:rsidP="00553766">
            <w:pPr>
              <w:spacing w:line="240" w:lineRule="exact"/>
              <w:rPr>
                <w:rFonts w:eastAsia="仿宋_GB2312" w:hint="eastAsia"/>
              </w:rPr>
            </w:pPr>
            <w:r>
              <w:rPr>
                <w:rFonts w:eastAsia="仿宋_GB2312" w:hint="eastAsia"/>
              </w:rPr>
              <w:t>②以移动污染源整治大会战为契机，与交通、生态环境、城管等部门建立常态化联合执法工作机制，对超载超限、尾气排放超标、渣土车未按规定蓬盖、洒漏等违法行为持续加大管理力度。</w:t>
            </w:r>
          </w:p>
          <w:p w:rsidR="003F4D3C" w:rsidRDefault="003F4D3C" w:rsidP="00553766">
            <w:pPr>
              <w:spacing w:line="240" w:lineRule="exact"/>
              <w:rPr>
                <w:rFonts w:eastAsia="仿宋_GB2312" w:hint="eastAsia"/>
              </w:rPr>
            </w:pPr>
            <w:r>
              <w:rPr>
                <w:rFonts w:eastAsia="仿宋_GB2312" w:hint="eastAsia"/>
              </w:rPr>
              <w:t>③加强管理，确保淄博钥泺纺织有限公司</w:t>
            </w:r>
            <w:r>
              <w:rPr>
                <w:rFonts w:eastAsia="仿宋_GB2312" w:hint="eastAsia"/>
              </w:rPr>
              <w:t>10</w:t>
            </w:r>
            <w:r>
              <w:rPr>
                <w:rFonts w:eastAsia="仿宋_GB2312" w:hint="eastAsia"/>
              </w:rPr>
              <w:t>蒸吨</w:t>
            </w:r>
            <w:r>
              <w:rPr>
                <w:rFonts w:eastAsia="仿宋_GB2312" w:hint="eastAsia"/>
              </w:rPr>
              <w:t>/</w:t>
            </w:r>
            <w:r>
              <w:rPr>
                <w:rFonts w:eastAsia="仿宋_GB2312" w:hint="eastAsia"/>
              </w:rPr>
              <w:t>小时高效煤粉锅炉不再启用。</w:t>
            </w:r>
          </w:p>
          <w:p w:rsidR="003F4D3C" w:rsidRDefault="003F4D3C" w:rsidP="00553766">
            <w:pPr>
              <w:spacing w:line="240" w:lineRule="exact"/>
              <w:rPr>
                <w:rFonts w:eastAsia="仿宋_GB2312" w:hint="eastAsia"/>
              </w:rPr>
            </w:pPr>
            <w:r>
              <w:rPr>
                <w:rFonts w:eastAsia="仿宋_GB2312" w:hint="eastAsia"/>
              </w:rPr>
              <w:t>④完善公共停车场充电基础设施、加强充电设施日常使用管理、推进配套电网工程建设等措施，大力推进电动汽车充电桩建设。</w:t>
            </w:r>
          </w:p>
        </w:tc>
        <w:tc>
          <w:tcPr>
            <w:tcW w:w="1488" w:type="dxa"/>
            <w:vAlign w:val="center"/>
          </w:tcPr>
          <w:p w:rsidR="003F4D3C" w:rsidRDefault="003F4D3C" w:rsidP="00553766">
            <w:pPr>
              <w:spacing w:line="240" w:lineRule="exact"/>
              <w:rPr>
                <w:rFonts w:eastAsia="仿宋_GB2312" w:hint="eastAsia"/>
              </w:rPr>
            </w:pPr>
            <w:r>
              <w:rPr>
                <w:rFonts w:eastAsia="仿宋_GB2312" w:hint="eastAsia"/>
              </w:rPr>
              <w:t>加强管理，确保淄博钥泺纺织有限公司</w:t>
            </w:r>
            <w:r>
              <w:rPr>
                <w:rFonts w:eastAsia="仿宋_GB2312" w:hint="eastAsia"/>
              </w:rPr>
              <w:t>10</w:t>
            </w:r>
            <w:r>
              <w:rPr>
                <w:rFonts w:eastAsia="仿宋_GB2312" w:hint="eastAsia"/>
              </w:rPr>
              <w:t>蒸吨</w:t>
            </w:r>
            <w:r>
              <w:rPr>
                <w:rFonts w:eastAsia="仿宋_GB2312" w:hint="eastAsia"/>
              </w:rPr>
              <w:t>/</w:t>
            </w:r>
            <w:r>
              <w:rPr>
                <w:rFonts w:eastAsia="仿宋_GB2312" w:hint="eastAsia"/>
              </w:rPr>
              <w:t>小时高效煤粉锅炉不再启用。</w:t>
            </w:r>
          </w:p>
          <w:p w:rsidR="003F4D3C" w:rsidRDefault="003F4D3C" w:rsidP="00553766">
            <w:pPr>
              <w:spacing w:line="240" w:lineRule="exact"/>
              <w:rPr>
                <w:rFonts w:eastAsia="仿宋_GB2312"/>
              </w:rPr>
            </w:pPr>
            <w:r>
              <w:rPr>
                <w:rFonts w:eastAsia="仿宋_GB2312" w:hint="eastAsia"/>
              </w:rPr>
              <w:t>现有电动汽车充电桩数量达到</w:t>
            </w:r>
            <w:r>
              <w:rPr>
                <w:rFonts w:eastAsia="仿宋_GB2312" w:hint="eastAsia"/>
              </w:rPr>
              <w:t>60</w:t>
            </w:r>
            <w:r>
              <w:rPr>
                <w:rFonts w:eastAsia="仿宋_GB2312" w:hint="eastAsia"/>
              </w:rPr>
              <w:t>个。</w:t>
            </w:r>
          </w:p>
        </w:tc>
        <w:tc>
          <w:tcPr>
            <w:tcW w:w="1489" w:type="dxa"/>
            <w:vAlign w:val="center"/>
          </w:tcPr>
          <w:p w:rsidR="003F4D3C" w:rsidRDefault="003F4D3C" w:rsidP="00553766">
            <w:pPr>
              <w:spacing w:line="240" w:lineRule="exact"/>
              <w:rPr>
                <w:rFonts w:eastAsia="仿宋_GB2312" w:hint="eastAsia"/>
              </w:rPr>
            </w:pPr>
            <w:r>
              <w:rPr>
                <w:rFonts w:eastAsia="仿宋_GB2312" w:hint="eastAsia"/>
              </w:rPr>
              <w:t>加强管理，确保淄博钥泺纺织有限公司</w:t>
            </w:r>
            <w:r>
              <w:rPr>
                <w:rFonts w:eastAsia="仿宋_GB2312" w:hint="eastAsia"/>
              </w:rPr>
              <w:t>10</w:t>
            </w:r>
            <w:r>
              <w:rPr>
                <w:rFonts w:eastAsia="仿宋_GB2312" w:hint="eastAsia"/>
              </w:rPr>
              <w:t>蒸吨</w:t>
            </w:r>
            <w:r>
              <w:rPr>
                <w:rFonts w:eastAsia="仿宋_GB2312" w:hint="eastAsia"/>
              </w:rPr>
              <w:t>/</w:t>
            </w:r>
            <w:r>
              <w:rPr>
                <w:rFonts w:eastAsia="仿宋_GB2312" w:hint="eastAsia"/>
              </w:rPr>
              <w:t>小时高效煤粉锅炉不再启用。</w:t>
            </w:r>
          </w:p>
          <w:p w:rsidR="003F4D3C" w:rsidRDefault="003F4D3C" w:rsidP="00553766">
            <w:pPr>
              <w:spacing w:line="240" w:lineRule="exact"/>
              <w:rPr>
                <w:rFonts w:eastAsia="仿宋_GB2312"/>
              </w:rPr>
            </w:pPr>
            <w:r>
              <w:rPr>
                <w:rFonts w:eastAsia="仿宋_GB2312" w:hint="eastAsia"/>
              </w:rPr>
              <w:t>新建电动汽车充电桩</w:t>
            </w:r>
            <w:r>
              <w:rPr>
                <w:rFonts w:eastAsia="仿宋_GB2312" w:hint="eastAsia"/>
              </w:rPr>
              <w:t>10</w:t>
            </w:r>
            <w:r>
              <w:rPr>
                <w:rFonts w:eastAsia="仿宋_GB2312" w:hint="eastAsia"/>
              </w:rPr>
              <w:t>个。</w:t>
            </w:r>
          </w:p>
        </w:tc>
        <w:tc>
          <w:tcPr>
            <w:tcW w:w="1489" w:type="dxa"/>
            <w:vAlign w:val="center"/>
          </w:tcPr>
          <w:p w:rsidR="003F4D3C" w:rsidRDefault="003F4D3C" w:rsidP="00553766">
            <w:pPr>
              <w:spacing w:line="240" w:lineRule="exact"/>
              <w:rPr>
                <w:rFonts w:eastAsia="仿宋_GB2312" w:hint="eastAsia"/>
              </w:rPr>
            </w:pPr>
            <w:r>
              <w:rPr>
                <w:rFonts w:eastAsia="仿宋_GB2312" w:hint="eastAsia"/>
              </w:rPr>
              <w:t>加强管理，确保淄博钥泺纺织有限公司</w:t>
            </w:r>
            <w:r>
              <w:rPr>
                <w:rFonts w:eastAsia="仿宋_GB2312" w:hint="eastAsia"/>
              </w:rPr>
              <w:t>10</w:t>
            </w:r>
            <w:r>
              <w:rPr>
                <w:rFonts w:eastAsia="仿宋_GB2312" w:hint="eastAsia"/>
              </w:rPr>
              <w:t>蒸吨</w:t>
            </w:r>
            <w:r>
              <w:rPr>
                <w:rFonts w:eastAsia="仿宋_GB2312" w:hint="eastAsia"/>
              </w:rPr>
              <w:t>/</w:t>
            </w:r>
            <w:r>
              <w:rPr>
                <w:rFonts w:eastAsia="仿宋_GB2312" w:hint="eastAsia"/>
              </w:rPr>
              <w:t>小时高效煤粉锅炉不再启用。</w:t>
            </w:r>
          </w:p>
          <w:p w:rsidR="003F4D3C" w:rsidRDefault="003F4D3C" w:rsidP="00553766">
            <w:pPr>
              <w:spacing w:line="240" w:lineRule="exact"/>
              <w:rPr>
                <w:rFonts w:eastAsia="仿宋_GB2312"/>
              </w:rPr>
            </w:pPr>
            <w:r>
              <w:rPr>
                <w:rFonts w:eastAsia="仿宋_GB2312" w:hint="eastAsia"/>
              </w:rPr>
              <w:t>新建电动汽车充电桩</w:t>
            </w:r>
            <w:r>
              <w:rPr>
                <w:rFonts w:eastAsia="仿宋_GB2312" w:hint="eastAsia"/>
              </w:rPr>
              <w:t>10</w:t>
            </w:r>
            <w:r>
              <w:rPr>
                <w:rFonts w:eastAsia="仿宋_GB2312" w:hint="eastAsia"/>
              </w:rPr>
              <w:t>个。</w:t>
            </w:r>
          </w:p>
        </w:tc>
        <w:tc>
          <w:tcPr>
            <w:tcW w:w="1489" w:type="dxa"/>
            <w:vAlign w:val="center"/>
          </w:tcPr>
          <w:p w:rsidR="003F4D3C" w:rsidRDefault="003F4D3C" w:rsidP="00553766">
            <w:pPr>
              <w:spacing w:line="240" w:lineRule="exact"/>
              <w:rPr>
                <w:rFonts w:eastAsia="仿宋_GB2312" w:hint="eastAsia"/>
              </w:rPr>
            </w:pPr>
            <w:r>
              <w:rPr>
                <w:rFonts w:eastAsia="仿宋_GB2312" w:hint="eastAsia"/>
              </w:rPr>
              <w:t>加强管理，确保淄博钥泺纺织有限公司</w:t>
            </w:r>
            <w:r>
              <w:rPr>
                <w:rFonts w:eastAsia="仿宋_GB2312" w:hint="eastAsia"/>
              </w:rPr>
              <w:t>10</w:t>
            </w:r>
            <w:r>
              <w:rPr>
                <w:rFonts w:eastAsia="仿宋_GB2312" w:hint="eastAsia"/>
              </w:rPr>
              <w:t>蒸吨</w:t>
            </w:r>
            <w:r>
              <w:rPr>
                <w:rFonts w:eastAsia="仿宋_GB2312" w:hint="eastAsia"/>
              </w:rPr>
              <w:t>/</w:t>
            </w:r>
            <w:r>
              <w:rPr>
                <w:rFonts w:eastAsia="仿宋_GB2312" w:hint="eastAsia"/>
              </w:rPr>
              <w:t>小时高效煤粉锅炉不再启用。</w:t>
            </w:r>
          </w:p>
          <w:p w:rsidR="003F4D3C" w:rsidRDefault="003F4D3C" w:rsidP="00553766">
            <w:pPr>
              <w:spacing w:line="240" w:lineRule="exact"/>
              <w:rPr>
                <w:rFonts w:eastAsia="仿宋_GB2312"/>
              </w:rPr>
            </w:pPr>
            <w:r>
              <w:rPr>
                <w:rFonts w:eastAsia="仿宋_GB2312" w:hint="eastAsia"/>
              </w:rPr>
              <w:t>完成市下达</w:t>
            </w:r>
            <w:r>
              <w:rPr>
                <w:rFonts w:eastAsia="仿宋_GB2312" w:hint="eastAsia"/>
              </w:rPr>
              <w:t>2020</w:t>
            </w:r>
            <w:r>
              <w:rPr>
                <w:rFonts w:eastAsia="仿宋_GB2312" w:hint="eastAsia"/>
              </w:rPr>
              <w:t>年规划建设电动汽车充电桩</w:t>
            </w:r>
            <w:r>
              <w:rPr>
                <w:rFonts w:eastAsia="仿宋_GB2312" w:hint="eastAsia"/>
              </w:rPr>
              <w:t>50</w:t>
            </w:r>
            <w:r>
              <w:rPr>
                <w:rFonts w:eastAsia="仿宋_GB2312" w:hint="eastAsia"/>
              </w:rPr>
              <w:t>个的目标任务。</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能源科</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监督电话：</w:t>
            </w:r>
            <w:r>
              <w:rPr>
                <w:rFonts w:eastAsia="仿宋_GB2312" w:hint="eastAsia"/>
              </w:rPr>
              <w:t>6195397</w:t>
            </w:r>
          </w:p>
        </w:tc>
      </w:tr>
      <w:tr w:rsidR="003F4D3C" w:rsidTr="003F4D3C">
        <w:trPr>
          <w:trHeight w:val="3116"/>
          <w:jc w:val="center"/>
        </w:trPr>
        <w:tc>
          <w:tcPr>
            <w:tcW w:w="375" w:type="dxa"/>
            <w:vAlign w:val="center"/>
          </w:tcPr>
          <w:p w:rsidR="003F4D3C" w:rsidRDefault="003F4D3C">
            <w:pPr>
              <w:spacing w:line="240" w:lineRule="exact"/>
              <w:jc w:val="center"/>
              <w:rPr>
                <w:rFonts w:eastAsia="仿宋_GB2312" w:hint="eastAsia"/>
              </w:rPr>
            </w:pPr>
            <w:r>
              <w:rPr>
                <w:rFonts w:eastAsia="仿宋_GB2312" w:hint="eastAsia"/>
              </w:rPr>
              <w:t>8</w:t>
            </w:r>
          </w:p>
        </w:tc>
        <w:tc>
          <w:tcPr>
            <w:tcW w:w="1657" w:type="dxa"/>
            <w:vAlign w:val="center"/>
          </w:tcPr>
          <w:p w:rsidR="003F4D3C" w:rsidRDefault="003F4D3C" w:rsidP="00553766">
            <w:pPr>
              <w:spacing w:line="240" w:lineRule="exact"/>
              <w:rPr>
                <w:rFonts w:eastAsia="仿宋_GB2312"/>
              </w:rPr>
            </w:pPr>
            <w:r>
              <w:rPr>
                <w:rFonts w:eastAsia="仿宋_GB2312"/>
              </w:rPr>
              <w:t>加快社会信用体系建设，加大失信惩戒力度和知识产权保护力度，鼓励引导企业公平竞争。</w:t>
            </w:r>
          </w:p>
        </w:tc>
        <w:tc>
          <w:tcPr>
            <w:tcW w:w="3194" w:type="dxa"/>
            <w:vAlign w:val="center"/>
          </w:tcPr>
          <w:p w:rsidR="003F4D3C" w:rsidRDefault="003F4D3C" w:rsidP="00553766">
            <w:pPr>
              <w:spacing w:line="240" w:lineRule="exact"/>
              <w:rPr>
                <w:rFonts w:eastAsia="仿宋_GB2312" w:hint="eastAsia"/>
              </w:rPr>
            </w:pPr>
            <w:r>
              <w:rPr>
                <w:rFonts w:eastAsia="仿宋_GB2312" w:hint="eastAsia"/>
              </w:rPr>
              <w:t>①组织各类市场主体签订信用承诺书。</w:t>
            </w:r>
          </w:p>
          <w:p w:rsidR="003F4D3C" w:rsidRDefault="003F4D3C" w:rsidP="00553766">
            <w:pPr>
              <w:spacing w:line="240" w:lineRule="exact"/>
              <w:rPr>
                <w:rFonts w:eastAsia="仿宋_GB2312" w:hint="eastAsia"/>
              </w:rPr>
            </w:pPr>
            <w:r>
              <w:rPr>
                <w:rFonts w:eastAsia="仿宋_GB2312" w:hint="eastAsia"/>
              </w:rPr>
              <w:t>②利用好各类媒体、平台进行社会信用体系建设宣传。</w:t>
            </w:r>
          </w:p>
          <w:p w:rsidR="003F4D3C" w:rsidRDefault="003F4D3C" w:rsidP="00553766">
            <w:pPr>
              <w:spacing w:line="240" w:lineRule="exact"/>
              <w:rPr>
                <w:rFonts w:eastAsia="仿宋_GB2312" w:hint="eastAsia"/>
              </w:rPr>
            </w:pPr>
            <w:r>
              <w:rPr>
                <w:rFonts w:eastAsia="仿宋_GB2312" w:hint="eastAsia"/>
              </w:rPr>
              <w:t>③开展部门间信息共享，及时汇总和上传双公示信息。</w:t>
            </w:r>
          </w:p>
          <w:p w:rsidR="003F4D3C" w:rsidRDefault="003F4D3C" w:rsidP="00553766">
            <w:pPr>
              <w:spacing w:line="240" w:lineRule="exact"/>
              <w:rPr>
                <w:rFonts w:eastAsia="仿宋_GB2312" w:hint="eastAsia"/>
              </w:rPr>
            </w:pPr>
            <w:r>
              <w:rPr>
                <w:rFonts w:eastAsia="仿宋_GB2312" w:hint="eastAsia"/>
              </w:rPr>
              <w:t>④加强部门协作，联合开展守信奖励失信惩戒。</w:t>
            </w:r>
          </w:p>
          <w:p w:rsidR="003F4D3C" w:rsidRDefault="003F4D3C" w:rsidP="00553766">
            <w:pPr>
              <w:spacing w:line="240" w:lineRule="exact"/>
              <w:rPr>
                <w:rFonts w:eastAsia="仿宋_GB2312"/>
              </w:rPr>
            </w:pPr>
            <w:r>
              <w:rPr>
                <w:rFonts w:eastAsia="仿宋_GB2312" w:hint="eastAsia"/>
              </w:rPr>
              <w:t>⑤配合上级信用部门，积极开展信用维护和信用修复培训工作。</w:t>
            </w:r>
          </w:p>
        </w:tc>
        <w:tc>
          <w:tcPr>
            <w:tcW w:w="1488" w:type="dxa"/>
            <w:vAlign w:val="center"/>
          </w:tcPr>
          <w:p w:rsidR="003F4D3C" w:rsidRDefault="003F4D3C" w:rsidP="00553766">
            <w:pPr>
              <w:spacing w:line="240" w:lineRule="exact"/>
              <w:rPr>
                <w:rFonts w:eastAsia="仿宋_GB2312"/>
              </w:rPr>
            </w:pPr>
            <w:r>
              <w:rPr>
                <w:rFonts w:eastAsia="仿宋_GB2312" w:hint="eastAsia"/>
              </w:rPr>
              <w:t>持续推进社会信用体系建设，维护疫情期间社会信用秩序，做好</w:t>
            </w:r>
            <w:r>
              <w:rPr>
                <w:rFonts w:eastAsia="仿宋_GB2312" w:hint="eastAsia"/>
              </w:rPr>
              <w:t>2019</w:t>
            </w:r>
            <w:r>
              <w:rPr>
                <w:rFonts w:eastAsia="仿宋_GB2312" w:hint="eastAsia"/>
              </w:rPr>
              <w:t>年度年度信用考核工作。</w:t>
            </w:r>
          </w:p>
        </w:tc>
        <w:tc>
          <w:tcPr>
            <w:tcW w:w="1489" w:type="dxa"/>
            <w:vAlign w:val="center"/>
          </w:tcPr>
          <w:p w:rsidR="003F4D3C" w:rsidRDefault="003F4D3C" w:rsidP="00553766">
            <w:pPr>
              <w:spacing w:line="240" w:lineRule="exact"/>
              <w:rPr>
                <w:rFonts w:eastAsia="仿宋_GB2312"/>
              </w:rPr>
            </w:pPr>
            <w:r>
              <w:rPr>
                <w:rFonts w:eastAsia="仿宋_GB2312" w:hint="eastAsia"/>
              </w:rPr>
              <w:t>深入开展市场主体签订信用承诺书工作，提高全社会诚信意识，继续加大失信惩戒力度，打击各类失信行为，加大信用体系建设宣传力度。</w:t>
            </w:r>
          </w:p>
        </w:tc>
        <w:tc>
          <w:tcPr>
            <w:tcW w:w="1489" w:type="dxa"/>
            <w:vAlign w:val="center"/>
          </w:tcPr>
          <w:p w:rsidR="003F4D3C" w:rsidRDefault="003F4D3C" w:rsidP="00553766">
            <w:pPr>
              <w:spacing w:line="240" w:lineRule="exact"/>
              <w:rPr>
                <w:rFonts w:eastAsia="仿宋_GB2312"/>
              </w:rPr>
            </w:pPr>
            <w:r>
              <w:rPr>
                <w:rFonts w:eastAsia="仿宋_GB2312" w:hint="eastAsia"/>
              </w:rPr>
              <w:t>规范双公示信息汇总和上传工作，加强部门间信用信息共享，鼓励企业进行信用修复，营造良好市场信用环境。</w:t>
            </w:r>
          </w:p>
        </w:tc>
        <w:tc>
          <w:tcPr>
            <w:tcW w:w="1489" w:type="dxa"/>
            <w:vAlign w:val="center"/>
          </w:tcPr>
          <w:p w:rsidR="003F4D3C" w:rsidRDefault="003F4D3C" w:rsidP="00553766">
            <w:pPr>
              <w:spacing w:line="240" w:lineRule="exact"/>
              <w:rPr>
                <w:rFonts w:eastAsia="仿宋_GB2312"/>
              </w:rPr>
            </w:pPr>
            <w:r>
              <w:rPr>
                <w:rFonts w:eastAsia="仿宋_GB2312" w:hint="eastAsia"/>
              </w:rPr>
              <w:t>完善信用承诺机制，加强社会信用监督力度，持续开展守信激励失信惩戒工作。</w:t>
            </w:r>
          </w:p>
        </w:tc>
        <w:tc>
          <w:tcPr>
            <w:tcW w:w="1489" w:type="dxa"/>
            <w:vAlign w:val="center"/>
          </w:tcPr>
          <w:p w:rsidR="003F4D3C" w:rsidRDefault="003F4D3C" w:rsidP="00553766">
            <w:pPr>
              <w:spacing w:line="240" w:lineRule="exact"/>
              <w:jc w:val="center"/>
              <w:rPr>
                <w:rFonts w:eastAsia="仿宋_GB2312" w:hint="eastAsia"/>
              </w:rPr>
            </w:pPr>
            <w:r>
              <w:rPr>
                <w:rFonts w:eastAsia="仿宋_GB2312" w:hint="eastAsia"/>
              </w:rPr>
              <w:t>综合科</w:t>
            </w:r>
          </w:p>
        </w:tc>
        <w:tc>
          <w:tcPr>
            <w:tcW w:w="1489" w:type="dxa"/>
            <w:vAlign w:val="center"/>
          </w:tcPr>
          <w:p w:rsidR="003F4D3C" w:rsidRDefault="003F4D3C" w:rsidP="003F4D3C">
            <w:pPr>
              <w:spacing w:line="240" w:lineRule="exact"/>
              <w:jc w:val="center"/>
              <w:rPr>
                <w:rFonts w:eastAsia="仿宋_GB2312" w:hint="eastAsia"/>
              </w:rPr>
            </w:pPr>
            <w:r>
              <w:rPr>
                <w:rFonts w:eastAsia="仿宋_GB2312" w:hint="eastAsia"/>
              </w:rPr>
              <w:t>监督电话：</w:t>
            </w:r>
            <w:r>
              <w:rPr>
                <w:rFonts w:eastAsia="仿宋_GB2312" w:hint="eastAsia"/>
              </w:rPr>
              <w:t>6195</w:t>
            </w:r>
            <w:r>
              <w:rPr>
                <w:rFonts w:eastAsia="仿宋_GB2312" w:hint="eastAsia"/>
              </w:rPr>
              <w:t>248</w:t>
            </w:r>
          </w:p>
        </w:tc>
      </w:tr>
    </w:tbl>
    <w:p w:rsidR="00E7298D" w:rsidRDefault="00E7298D">
      <w:pPr>
        <w:spacing w:line="600" w:lineRule="exact"/>
        <w:jc w:val="left"/>
        <w:rPr>
          <w:rFonts w:eastAsia="黑体" w:hint="eastAsia"/>
          <w:sz w:val="32"/>
          <w:szCs w:val="32"/>
        </w:rPr>
      </w:pPr>
    </w:p>
    <w:sectPr w:rsidR="00E7298D" w:rsidSect="009F2422">
      <w:footerReference w:type="even" r:id="rId6"/>
      <w:footerReference w:type="default" r:id="rId7"/>
      <w:pgSz w:w="16840" w:h="11907" w:orient="landscape"/>
      <w:pgMar w:top="1531" w:right="1701" w:bottom="1531" w:left="1701" w:header="851" w:footer="1339"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98D" w:rsidRDefault="00E7298D" w:rsidP="00D02A63">
      <w:r>
        <w:separator/>
      </w:r>
    </w:p>
  </w:endnote>
  <w:endnote w:type="continuationSeparator" w:id="0">
    <w:p w:rsidR="00E7298D" w:rsidRDefault="00E7298D" w:rsidP="00D02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298D">
    <w:pPr>
      <w:pStyle w:val="a8"/>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12</w:t>
    </w:r>
    <w:r>
      <w:fldChar w:fldCharType="end"/>
    </w:r>
  </w:p>
  <w:p w:rsidR="00000000" w:rsidRDefault="00E7298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298D">
    <w:pPr>
      <w:pStyle w:val="a8"/>
      <w:framePr w:wrap="around" w:vAnchor="text" w:hAnchor="margin" w:xAlign="center" w:y="1"/>
      <w:ind w:rightChars="166" w:right="349" w:firstLineChars="115" w:firstLine="322"/>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PA</w:instrText>
    </w:r>
    <w:r>
      <w:rPr>
        <w:rStyle w:val="a3"/>
        <w:sz w:val="28"/>
        <w:szCs w:val="28"/>
      </w:rPr>
      <w:instrText xml:space="preserve">GE  </w:instrText>
    </w:r>
    <w:r>
      <w:rPr>
        <w:sz w:val="28"/>
        <w:szCs w:val="28"/>
      </w:rPr>
      <w:fldChar w:fldCharType="separate"/>
    </w:r>
    <w:r w:rsidR="00AF2827">
      <w:rPr>
        <w:rStyle w:val="a3"/>
        <w:noProof/>
        <w:sz w:val="28"/>
        <w:szCs w:val="28"/>
      </w:rPr>
      <w:t>1</w:t>
    </w:r>
    <w:r>
      <w:rPr>
        <w:sz w:val="28"/>
        <w:szCs w:val="28"/>
      </w:rPr>
      <w:fldChar w:fldCharType="end"/>
    </w:r>
    <w:r>
      <w:rPr>
        <w:rStyle w:val="a3"/>
        <w:rFonts w:hint="eastAsia"/>
        <w:sz w:val="28"/>
        <w:szCs w:val="28"/>
      </w:rPr>
      <w:t xml:space="preserve">  </w:t>
    </w:r>
    <w:r>
      <w:rPr>
        <w:rStyle w:val="a3"/>
        <w:rFonts w:hint="eastAsia"/>
        <w:sz w:val="28"/>
        <w:szCs w:val="28"/>
      </w:rPr>
      <w:t>—</w:t>
    </w:r>
  </w:p>
  <w:p w:rsidR="00000000" w:rsidRDefault="00E7298D">
    <w:pPr>
      <w:pStyle w:val="a8"/>
      <w:ind w:right="360"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98D" w:rsidRDefault="00E7298D" w:rsidP="00D02A63">
      <w:r>
        <w:separator/>
      </w:r>
    </w:p>
  </w:footnote>
  <w:footnote w:type="continuationSeparator" w:id="0">
    <w:p w:rsidR="00E7298D" w:rsidRDefault="00E7298D" w:rsidP="00D02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0BB"/>
    <w:rsid w:val="00014CEC"/>
    <w:rsid w:val="000302DB"/>
    <w:rsid w:val="0003648F"/>
    <w:rsid w:val="00041802"/>
    <w:rsid w:val="00043A72"/>
    <w:rsid w:val="00043F20"/>
    <w:rsid w:val="00063A0E"/>
    <w:rsid w:val="00070E97"/>
    <w:rsid w:val="00080B4C"/>
    <w:rsid w:val="000825AA"/>
    <w:rsid w:val="000975A3"/>
    <w:rsid w:val="000A02A3"/>
    <w:rsid w:val="000A05D3"/>
    <w:rsid w:val="000C5BB1"/>
    <w:rsid w:val="000C6257"/>
    <w:rsid w:val="000D1195"/>
    <w:rsid w:val="000E4BDB"/>
    <w:rsid w:val="000E7EDB"/>
    <w:rsid w:val="0011540C"/>
    <w:rsid w:val="0013097E"/>
    <w:rsid w:val="00130C71"/>
    <w:rsid w:val="00147E14"/>
    <w:rsid w:val="00147EA8"/>
    <w:rsid w:val="00162741"/>
    <w:rsid w:val="0016366A"/>
    <w:rsid w:val="001642BD"/>
    <w:rsid w:val="001831F9"/>
    <w:rsid w:val="001B5E43"/>
    <w:rsid w:val="001C5F05"/>
    <w:rsid w:val="001D1209"/>
    <w:rsid w:val="001D5C67"/>
    <w:rsid w:val="001E0290"/>
    <w:rsid w:val="001E3C66"/>
    <w:rsid w:val="001F7D9B"/>
    <w:rsid w:val="00201590"/>
    <w:rsid w:val="002017F5"/>
    <w:rsid w:val="0021190F"/>
    <w:rsid w:val="00241DE0"/>
    <w:rsid w:val="0024201B"/>
    <w:rsid w:val="002426A6"/>
    <w:rsid w:val="002504D7"/>
    <w:rsid w:val="00282DEA"/>
    <w:rsid w:val="002B0348"/>
    <w:rsid w:val="002C00EA"/>
    <w:rsid w:val="002C13D7"/>
    <w:rsid w:val="002C5540"/>
    <w:rsid w:val="002D7FCA"/>
    <w:rsid w:val="002F794B"/>
    <w:rsid w:val="00324920"/>
    <w:rsid w:val="00326A70"/>
    <w:rsid w:val="00334136"/>
    <w:rsid w:val="003411CA"/>
    <w:rsid w:val="00343193"/>
    <w:rsid w:val="00360166"/>
    <w:rsid w:val="00361652"/>
    <w:rsid w:val="003621A5"/>
    <w:rsid w:val="0037183E"/>
    <w:rsid w:val="00384992"/>
    <w:rsid w:val="00386D54"/>
    <w:rsid w:val="003A02E2"/>
    <w:rsid w:val="003A0E1C"/>
    <w:rsid w:val="003A42BC"/>
    <w:rsid w:val="003B3CA9"/>
    <w:rsid w:val="003E44F2"/>
    <w:rsid w:val="003E5DFC"/>
    <w:rsid w:val="003F4D3C"/>
    <w:rsid w:val="003F53CC"/>
    <w:rsid w:val="003F72F6"/>
    <w:rsid w:val="004024B9"/>
    <w:rsid w:val="00406A3F"/>
    <w:rsid w:val="004218C4"/>
    <w:rsid w:val="004227A9"/>
    <w:rsid w:val="00422ED4"/>
    <w:rsid w:val="004277AF"/>
    <w:rsid w:val="00451FC3"/>
    <w:rsid w:val="004535C5"/>
    <w:rsid w:val="00473958"/>
    <w:rsid w:val="004743F4"/>
    <w:rsid w:val="00477E18"/>
    <w:rsid w:val="004818D5"/>
    <w:rsid w:val="0048555B"/>
    <w:rsid w:val="00485717"/>
    <w:rsid w:val="00490405"/>
    <w:rsid w:val="00491356"/>
    <w:rsid w:val="004A0677"/>
    <w:rsid w:val="004A2623"/>
    <w:rsid w:val="004A3F36"/>
    <w:rsid w:val="004A50AC"/>
    <w:rsid w:val="004A6447"/>
    <w:rsid w:val="004B0568"/>
    <w:rsid w:val="004C411E"/>
    <w:rsid w:val="004C7A17"/>
    <w:rsid w:val="004D0AD1"/>
    <w:rsid w:val="004D562C"/>
    <w:rsid w:val="004E2CB1"/>
    <w:rsid w:val="00517886"/>
    <w:rsid w:val="00526D6B"/>
    <w:rsid w:val="00542D35"/>
    <w:rsid w:val="00555A9F"/>
    <w:rsid w:val="005718FC"/>
    <w:rsid w:val="00586EE0"/>
    <w:rsid w:val="005913AB"/>
    <w:rsid w:val="005A32E2"/>
    <w:rsid w:val="005A5FD8"/>
    <w:rsid w:val="005B20DE"/>
    <w:rsid w:val="005B7D84"/>
    <w:rsid w:val="005C0F0C"/>
    <w:rsid w:val="005C29D8"/>
    <w:rsid w:val="005E49E2"/>
    <w:rsid w:val="00601A7F"/>
    <w:rsid w:val="006153AF"/>
    <w:rsid w:val="00635DD3"/>
    <w:rsid w:val="00644E2D"/>
    <w:rsid w:val="006519E3"/>
    <w:rsid w:val="00674BB4"/>
    <w:rsid w:val="00677669"/>
    <w:rsid w:val="006802A8"/>
    <w:rsid w:val="00690902"/>
    <w:rsid w:val="00697857"/>
    <w:rsid w:val="006C76EF"/>
    <w:rsid w:val="006D6474"/>
    <w:rsid w:val="006D7444"/>
    <w:rsid w:val="006F6826"/>
    <w:rsid w:val="007044C5"/>
    <w:rsid w:val="00707F2B"/>
    <w:rsid w:val="007103E8"/>
    <w:rsid w:val="0072057B"/>
    <w:rsid w:val="00720FE1"/>
    <w:rsid w:val="00721355"/>
    <w:rsid w:val="00724087"/>
    <w:rsid w:val="00725A68"/>
    <w:rsid w:val="007361EA"/>
    <w:rsid w:val="00745F78"/>
    <w:rsid w:val="00752770"/>
    <w:rsid w:val="00770190"/>
    <w:rsid w:val="007762D4"/>
    <w:rsid w:val="0078060B"/>
    <w:rsid w:val="00783389"/>
    <w:rsid w:val="007F090B"/>
    <w:rsid w:val="007F41E0"/>
    <w:rsid w:val="007F6A25"/>
    <w:rsid w:val="0080104E"/>
    <w:rsid w:val="0080483F"/>
    <w:rsid w:val="008169CF"/>
    <w:rsid w:val="00823231"/>
    <w:rsid w:val="00833BA2"/>
    <w:rsid w:val="008369F2"/>
    <w:rsid w:val="00837DCE"/>
    <w:rsid w:val="008402D1"/>
    <w:rsid w:val="0084261D"/>
    <w:rsid w:val="00850154"/>
    <w:rsid w:val="00853E07"/>
    <w:rsid w:val="00866A1E"/>
    <w:rsid w:val="00876C7A"/>
    <w:rsid w:val="00892CDD"/>
    <w:rsid w:val="008B0480"/>
    <w:rsid w:val="008B200F"/>
    <w:rsid w:val="008C35A7"/>
    <w:rsid w:val="008C35E8"/>
    <w:rsid w:val="008F2BE2"/>
    <w:rsid w:val="009220EA"/>
    <w:rsid w:val="00924CA5"/>
    <w:rsid w:val="0095121C"/>
    <w:rsid w:val="00954EDE"/>
    <w:rsid w:val="00973140"/>
    <w:rsid w:val="00974AA0"/>
    <w:rsid w:val="0098583C"/>
    <w:rsid w:val="00987C3C"/>
    <w:rsid w:val="009974A3"/>
    <w:rsid w:val="009A4E97"/>
    <w:rsid w:val="009E4BB6"/>
    <w:rsid w:val="009F2422"/>
    <w:rsid w:val="009F355E"/>
    <w:rsid w:val="00A00353"/>
    <w:rsid w:val="00A11371"/>
    <w:rsid w:val="00A22D5F"/>
    <w:rsid w:val="00A25773"/>
    <w:rsid w:val="00A47FC2"/>
    <w:rsid w:val="00A5157C"/>
    <w:rsid w:val="00A52A70"/>
    <w:rsid w:val="00A60483"/>
    <w:rsid w:val="00A7372F"/>
    <w:rsid w:val="00A84699"/>
    <w:rsid w:val="00A91CAA"/>
    <w:rsid w:val="00AB0D76"/>
    <w:rsid w:val="00AC3491"/>
    <w:rsid w:val="00AC59BD"/>
    <w:rsid w:val="00AC5A60"/>
    <w:rsid w:val="00AC652D"/>
    <w:rsid w:val="00AD2A8A"/>
    <w:rsid w:val="00AD31DC"/>
    <w:rsid w:val="00AE7752"/>
    <w:rsid w:val="00AF2827"/>
    <w:rsid w:val="00B02233"/>
    <w:rsid w:val="00B232BA"/>
    <w:rsid w:val="00B24565"/>
    <w:rsid w:val="00B53091"/>
    <w:rsid w:val="00B54AB2"/>
    <w:rsid w:val="00B63790"/>
    <w:rsid w:val="00B81592"/>
    <w:rsid w:val="00B852F9"/>
    <w:rsid w:val="00BA03CD"/>
    <w:rsid w:val="00BA4E24"/>
    <w:rsid w:val="00BA4E48"/>
    <w:rsid w:val="00BD0B6D"/>
    <w:rsid w:val="00BE52B2"/>
    <w:rsid w:val="00C02D39"/>
    <w:rsid w:val="00C152D5"/>
    <w:rsid w:val="00C154E4"/>
    <w:rsid w:val="00C20A94"/>
    <w:rsid w:val="00C24A68"/>
    <w:rsid w:val="00C34F6A"/>
    <w:rsid w:val="00C4644F"/>
    <w:rsid w:val="00C47D4F"/>
    <w:rsid w:val="00C82215"/>
    <w:rsid w:val="00CA4D04"/>
    <w:rsid w:val="00CF6708"/>
    <w:rsid w:val="00D003E8"/>
    <w:rsid w:val="00D109EE"/>
    <w:rsid w:val="00D10ED5"/>
    <w:rsid w:val="00D145AB"/>
    <w:rsid w:val="00D14F80"/>
    <w:rsid w:val="00D24C86"/>
    <w:rsid w:val="00D26004"/>
    <w:rsid w:val="00D418C1"/>
    <w:rsid w:val="00D60F19"/>
    <w:rsid w:val="00D84C88"/>
    <w:rsid w:val="00D862C1"/>
    <w:rsid w:val="00DB3C99"/>
    <w:rsid w:val="00DC78A4"/>
    <w:rsid w:val="00DD7B5B"/>
    <w:rsid w:val="00DF31C7"/>
    <w:rsid w:val="00E24377"/>
    <w:rsid w:val="00E30F74"/>
    <w:rsid w:val="00E316DB"/>
    <w:rsid w:val="00E51179"/>
    <w:rsid w:val="00E7298D"/>
    <w:rsid w:val="00E76554"/>
    <w:rsid w:val="00E8376D"/>
    <w:rsid w:val="00EA2D64"/>
    <w:rsid w:val="00EE4469"/>
    <w:rsid w:val="00EF38E1"/>
    <w:rsid w:val="00F34F23"/>
    <w:rsid w:val="00F62152"/>
    <w:rsid w:val="00F64F93"/>
    <w:rsid w:val="00F651E9"/>
    <w:rsid w:val="00F701F0"/>
    <w:rsid w:val="00F7451C"/>
    <w:rsid w:val="00F913CC"/>
    <w:rsid w:val="00F91607"/>
    <w:rsid w:val="00FA1186"/>
    <w:rsid w:val="00FA63B3"/>
    <w:rsid w:val="00FD44B5"/>
    <w:rsid w:val="00FD4F67"/>
    <w:rsid w:val="00FE539F"/>
    <w:rsid w:val="00FE5ECA"/>
    <w:rsid w:val="00FE63BC"/>
    <w:rsid w:val="243E5AA8"/>
    <w:rsid w:val="442A4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link w:val="3Char"/>
    <w:qFormat/>
    <w:pPr>
      <w:widowControl/>
      <w:spacing w:before="100" w:beforeAutospacing="1" w:after="100" w:afterAutospacing="1"/>
      <w:jc w:val="left"/>
      <w:outlineLvl w:val="2"/>
    </w:pPr>
    <w:rPr>
      <w:rFonts w:ascii="宋体" w:hAnsi="宋体"/>
      <w:b/>
      <w:bCs/>
      <w:sz w:val="27"/>
      <w:szCs w:val="27"/>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 2 Char"/>
    <w:link w:val="2"/>
    <w:rPr>
      <w:rFonts w:ascii="宋体" w:eastAsia="宋体" w:hAnsi="宋体"/>
      <w:kern w:val="2"/>
      <w:sz w:val="70"/>
      <w:szCs w:val="24"/>
      <w:lang w:val="en-US" w:eastAsia="zh-CN" w:bidi="ar-SA"/>
    </w:rPr>
  </w:style>
  <w:style w:type="character" w:styleId="a3">
    <w:name w:val="page number"/>
    <w:basedOn w:val="a0"/>
  </w:style>
  <w:style w:type="character" w:customStyle="1" w:styleId="Char">
    <w:name w:val="文档结构图 Char"/>
    <w:link w:val="a4"/>
    <w:rPr>
      <w:rFonts w:eastAsia="宋体"/>
      <w:kern w:val="2"/>
      <w:sz w:val="21"/>
      <w:szCs w:val="24"/>
      <w:lang w:val="en-US" w:eastAsia="zh-CN" w:bidi="ar-SA"/>
    </w:rPr>
  </w:style>
  <w:style w:type="character" w:customStyle="1" w:styleId="New">
    <w:name w:val="要点 New"/>
    <w:basedOn w:val="a0"/>
    <w:rPr>
      <w:b/>
      <w:bCs/>
      <w:sz w:val="24"/>
    </w:rPr>
  </w:style>
  <w:style w:type="character" w:customStyle="1" w:styleId="3Char">
    <w:name w:val="标题 3 Char"/>
    <w:link w:val="3"/>
    <w:rPr>
      <w:rFonts w:ascii="宋体" w:eastAsia="宋体" w:hAnsi="宋体"/>
      <w:b/>
      <w:bCs/>
      <w:sz w:val="27"/>
      <w:szCs w:val="27"/>
      <w:lang w:val="en-US" w:eastAsia="zh-CN" w:bidi="ar-SA"/>
    </w:rPr>
  </w:style>
  <w:style w:type="character" w:customStyle="1" w:styleId="3CharChar">
    <w:name w:val="标题3 Char Char"/>
    <w:basedOn w:val="a0"/>
    <w:link w:val="30"/>
    <w:rPr>
      <w:rFonts w:eastAsia="仿宋_GB2312"/>
      <w:b/>
      <w:bCs/>
      <w:kern w:val="2"/>
      <w:sz w:val="32"/>
      <w:szCs w:val="32"/>
      <w:lang w:val="en-US" w:eastAsia="zh-CN" w:bidi="ar-SA"/>
    </w:rPr>
  </w:style>
  <w:style w:type="character" w:styleId="a5">
    <w:name w:val="Strong"/>
    <w:basedOn w:val="a0"/>
    <w:qFormat/>
    <w:rPr>
      <w:b/>
      <w:bCs/>
    </w:rPr>
  </w:style>
  <w:style w:type="character" w:styleId="a6">
    <w:name w:val="annotation reference"/>
    <w:basedOn w:val="a0"/>
    <w:rPr>
      <w:sz w:val="21"/>
      <w:szCs w:val="21"/>
    </w:rPr>
  </w:style>
  <w:style w:type="character" w:customStyle="1" w:styleId="font31">
    <w:name w:val="font31"/>
    <w:basedOn w:val="a0"/>
    <w:rPr>
      <w:rFonts w:ascii="黑体" w:eastAsia="黑体" w:hAnsi="宋体" w:cs="黑体" w:hint="eastAsia"/>
      <w:b/>
      <w:color w:val="000000"/>
      <w:sz w:val="22"/>
      <w:szCs w:val="22"/>
      <w:u w:val="none"/>
    </w:rPr>
  </w:style>
  <w:style w:type="character" w:customStyle="1" w:styleId="Char0">
    <w:name w:val="批注框文本 Char"/>
    <w:link w:val="a7"/>
    <w:rPr>
      <w:rFonts w:eastAsia="宋体"/>
      <w:kern w:val="2"/>
      <w:sz w:val="18"/>
      <w:szCs w:val="18"/>
      <w:lang w:val="en-US" w:eastAsia="zh-CN" w:bidi="ar-SA"/>
    </w:rPr>
  </w:style>
  <w:style w:type="character" w:customStyle="1" w:styleId="Char1">
    <w:name w:val="页脚 Char"/>
    <w:basedOn w:val="a0"/>
    <w:link w:val="a8"/>
    <w:rPr>
      <w:rFonts w:eastAsia="宋体"/>
      <w:kern w:val="2"/>
      <w:sz w:val="18"/>
      <w:szCs w:val="18"/>
      <w:lang w:val="en-US" w:eastAsia="zh-CN" w:bidi="ar-SA"/>
    </w:rPr>
  </w:style>
  <w:style w:type="character" w:customStyle="1" w:styleId="Char2">
    <w:name w:val="页眉 Char"/>
    <w:link w:val="a9"/>
    <w:rPr>
      <w:rFonts w:eastAsia="宋体"/>
      <w:kern w:val="2"/>
      <w:sz w:val="18"/>
      <w:szCs w:val="18"/>
      <w:lang w:val="en-US" w:eastAsia="zh-CN" w:bidi="ar-SA"/>
    </w:rPr>
  </w:style>
  <w:style w:type="character" w:customStyle="1" w:styleId="font21">
    <w:name w:val="font21"/>
    <w:basedOn w:val="a0"/>
    <w:rPr>
      <w:rFonts w:ascii="仿宋" w:eastAsia="仿宋" w:hAnsi="仿宋" w:cs="仿宋" w:hint="eastAsia"/>
      <w:color w:val="000000"/>
      <w:sz w:val="24"/>
      <w:szCs w:val="24"/>
      <w:u w:val="none"/>
    </w:rPr>
  </w:style>
  <w:style w:type="character" w:customStyle="1" w:styleId="font11">
    <w:name w:val="font11"/>
    <w:basedOn w:val="a0"/>
    <w:rPr>
      <w:rFonts w:ascii="仿宋" w:eastAsia="仿宋" w:hAnsi="仿宋" w:cs="仿宋" w:hint="eastAsia"/>
      <w:b/>
      <w:color w:val="000000"/>
      <w:sz w:val="24"/>
      <w:szCs w:val="24"/>
      <w:u w:val="none"/>
    </w:rPr>
  </w:style>
  <w:style w:type="paragraph" w:customStyle="1" w:styleId="BodyTextFirstIndent2">
    <w:name w:val="Body Text First Indent 2"/>
    <w:basedOn w:val="BodyTextIndent"/>
    <w:pPr>
      <w:spacing w:after="0"/>
      <w:ind w:firstLineChars="200" w:firstLine="420"/>
    </w:pPr>
    <w:rPr>
      <w:rFonts w:ascii="Calibri" w:hAnsi="Calibri" w:cs="Calibri"/>
      <w:sz w:val="21"/>
      <w:szCs w:val="21"/>
    </w:rPr>
  </w:style>
  <w:style w:type="paragraph" w:customStyle="1" w:styleId="NewNewNewNew">
    <w:name w:val="正文 New New New New"/>
    <w:pPr>
      <w:widowControl w:val="0"/>
      <w:jc w:val="both"/>
    </w:pPr>
    <w:rPr>
      <w:rFonts w:ascii="Calibri" w:hAnsi="Calibri" w:cs="Calibri"/>
      <w:kern w:val="2"/>
      <w:sz w:val="21"/>
      <w:szCs w:val="21"/>
    </w:rPr>
  </w:style>
  <w:style w:type="paragraph" w:customStyle="1" w:styleId="Char10">
    <w:name w:val="Char1"/>
    <w:basedOn w:val="a4"/>
    <w:pPr>
      <w:widowControl/>
      <w:spacing w:after="160" w:line="240" w:lineRule="exact"/>
      <w:ind w:left="1"/>
      <w:jc w:val="left"/>
      <w:textAlignment w:val="bottom"/>
    </w:pPr>
    <w:rPr>
      <w:rFonts w:ascii="Calibri" w:hAnsi="Calibri" w:cs="Calibri"/>
      <w:kern w:val="0"/>
      <w:sz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pPr>
      <w:widowControl w:val="0"/>
      <w:jc w:val="both"/>
    </w:pPr>
    <w:rPr>
      <w:kern w:val="2"/>
      <w:sz w:val="21"/>
      <w:szCs w:val="22"/>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styleId="ab">
    <w:name w:val="Plain Text"/>
    <w:basedOn w:val="a"/>
    <w:rPr>
      <w:rFonts w:ascii="宋体" w:hAnsi="Courier New" w:cs="Courier New"/>
      <w:szCs w:val="21"/>
    </w:rPr>
  </w:style>
  <w:style w:type="paragraph" w:styleId="2">
    <w:name w:val="Body Text 2"/>
    <w:basedOn w:val="a"/>
    <w:link w:val="2Char"/>
    <w:pPr>
      <w:jc w:val="center"/>
    </w:pPr>
    <w:rPr>
      <w:rFonts w:ascii="宋体" w:hAnsi="宋体"/>
      <w:sz w:val="70"/>
    </w:rPr>
  </w:style>
  <w:style w:type="paragraph" w:customStyle="1" w:styleId="NewNewNew">
    <w:name w:val="正文 New New New"/>
    <w:pPr>
      <w:widowControl w:val="0"/>
      <w:jc w:val="both"/>
    </w:pPr>
    <w:rPr>
      <w:rFonts w:ascii="Calibri" w:hAnsi="Calibri"/>
      <w:kern w:val="2"/>
      <w:sz w:val="21"/>
      <w:szCs w:val="24"/>
    </w:rPr>
  </w:style>
  <w:style w:type="paragraph" w:customStyle="1" w:styleId="NewNewNewNewNewNewNewNewNewNewNewNewNewNewNewNewNewNew">
    <w:name w:val="正文 New New New New New New New New New New New New New New New New New New"/>
    <w:pPr>
      <w:widowControl w:val="0"/>
      <w:jc w:val="both"/>
    </w:pPr>
    <w:rPr>
      <w:kern w:val="2"/>
      <w:sz w:val="21"/>
      <w:szCs w:val="24"/>
    </w:rPr>
  </w:style>
  <w:style w:type="paragraph" w:styleId="ac">
    <w:name w:val="Block Text"/>
    <w:basedOn w:val="a"/>
    <w:pPr>
      <w:spacing w:line="600" w:lineRule="exact"/>
      <w:ind w:leftChars="-86" w:left="-180" w:rightChars="-73" w:right="-153" w:hanging="1"/>
    </w:pPr>
    <w:rPr>
      <w:rFonts w:eastAsia="仿宋_GB2312"/>
      <w:sz w:val="32"/>
      <w:szCs w:val="32"/>
    </w:rPr>
  </w:style>
  <w:style w:type="paragraph" w:customStyle="1" w:styleId="CharCharChar">
    <w:name w:val="Char Char Char"/>
    <w:basedOn w:val="a"/>
    <w:pPr>
      <w:widowControl/>
      <w:spacing w:after="160" w:line="240" w:lineRule="exact"/>
      <w:jc w:val="left"/>
    </w:pPr>
    <w:rPr>
      <w:rFonts w:ascii="Verdana" w:hAnsi="Verdana"/>
      <w:kern w:val="0"/>
      <w:sz w:val="20"/>
      <w:szCs w:val="20"/>
      <w:lang w:eastAsia="en-US"/>
    </w:rPr>
  </w:style>
  <w:style w:type="paragraph" w:styleId="ad">
    <w:name w:val="Body Text"/>
    <w:basedOn w:val="a"/>
    <w:rPr>
      <w:rFonts w:eastAsia="华文中宋"/>
      <w:w w:val="52"/>
      <w:sz w:val="144"/>
    </w:rPr>
  </w:style>
  <w:style w:type="paragraph" w:styleId="a9">
    <w:name w:val="header"/>
    <w:basedOn w:val="a"/>
    <w:link w:val="Char2"/>
    <w:pPr>
      <w:pBdr>
        <w:bottom w:val="single" w:sz="6" w:space="1" w:color="auto"/>
      </w:pBdr>
      <w:tabs>
        <w:tab w:val="center" w:pos="4153"/>
        <w:tab w:val="right" w:pos="8306"/>
      </w:tabs>
      <w:snapToGrid w:val="0"/>
      <w:jc w:val="center"/>
    </w:pPr>
    <w:rPr>
      <w:sz w:val="18"/>
      <w:szCs w:val="18"/>
    </w:rPr>
  </w:style>
  <w:style w:type="paragraph" w:customStyle="1" w:styleId="20">
    <w:name w:val="无间隔2"/>
    <w:pPr>
      <w:adjustRightInd w:val="0"/>
      <w:snapToGrid w:val="0"/>
    </w:pPr>
    <w:rPr>
      <w:rFonts w:ascii="Tahoma" w:eastAsia="微软雅黑" w:hAnsi="Tahoma"/>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styleId="a8">
    <w:name w:val="footer"/>
    <w:basedOn w:val="a"/>
    <w:link w:val="Char1"/>
    <w:pPr>
      <w:tabs>
        <w:tab w:val="center" w:pos="4153"/>
        <w:tab w:val="right" w:pos="8306"/>
      </w:tabs>
      <w:snapToGrid w:val="0"/>
      <w:jc w:val="left"/>
    </w:pPr>
    <w:rPr>
      <w:sz w:val="18"/>
      <w:szCs w:val="18"/>
    </w:rPr>
  </w:style>
  <w:style w:type="paragraph" w:customStyle="1" w:styleId="NewNewNewNewNewNewNew">
    <w:name w:val="正文 New New New New New New New"/>
    <w:pPr>
      <w:widowControl w:val="0"/>
      <w:jc w:val="both"/>
    </w:pPr>
    <w:rPr>
      <w:rFonts w:ascii="Calibri" w:hAnsi="Calibri"/>
      <w:kern w:val="2"/>
      <w:sz w:val="21"/>
    </w:rPr>
  </w:style>
  <w:style w:type="paragraph" w:styleId="ae">
    <w:name w:val="Body Text Indent"/>
    <w:basedOn w:val="a"/>
    <w:pPr>
      <w:spacing w:line="600" w:lineRule="exact"/>
      <w:ind w:firstLineChars="200" w:firstLine="640"/>
    </w:pPr>
    <w:rPr>
      <w:rFonts w:eastAsia="仿宋_GB2312"/>
      <w:sz w:val="32"/>
      <w:szCs w:val="32"/>
    </w:rPr>
  </w:style>
  <w:style w:type="paragraph" w:customStyle="1" w:styleId="NewNewNewNewNewNewNewNewNewNewNewNewNewNewNew">
    <w:name w:val="正文 New New New New New New New New New New New New New New New"/>
    <w:pPr>
      <w:widowControl w:val="0"/>
      <w:jc w:val="both"/>
    </w:pPr>
    <w:rPr>
      <w:rFonts w:ascii="Calibri" w:hAnsi="Calibri" w:cs="Calibri"/>
      <w:kern w:val="2"/>
      <w:sz w:val="21"/>
      <w:szCs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pPr>
      <w:widowControl w:val="0"/>
      <w:jc w:val="both"/>
    </w:pPr>
    <w:rPr>
      <w:rFonts w:ascii="Calibri" w:hAnsi="Calibri"/>
      <w:kern w:val="2"/>
      <w:sz w:val="21"/>
      <w:szCs w:val="24"/>
    </w:rPr>
  </w:style>
  <w:style w:type="paragraph" w:customStyle="1" w:styleId="Char2CharCharCharCharCharCharCharCharCharCharCharChar">
    <w:name w:val="Char2 Char Char Char Char Char Char Char Char Char Char Char Char"/>
    <w:basedOn w:val="a"/>
    <w:pPr>
      <w:ind w:firstLineChars="200" w:firstLine="641"/>
    </w:pPr>
    <w:rPr>
      <w:rFonts w:ascii="仿宋_GB2312" w:eastAsia="仿宋_GB2312" w:hAnsi="仿宋_GB2312"/>
      <w:b/>
      <w:sz w:val="32"/>
      <w:szCs w:val="36"/>
    </w:rPr>
  </w:style>
  <w:style w:type="paragraph" w:customStyle="1" w:styleId="CharCharCharCharCharChar">
    <w:name w:val=" Char Char Char Char Char Char"/>
    <w:basedOn w:val="a"/>
    <w:pPr>
      <w:widowControl/>
      <w:spacing w:after="160" w:line="240" w:lineRule="exact"/>
      <w:jc w:val="left"/>
    </w:pPr>
    <w:rPr>
      <w:rFonts w:ascii="Arial" w:hAnsi="Arial" w:cs="Arial"/>
      <w:b/>
      <w:bCs/>
      <w:kern w:val="0"/>
      <w:sz w:val="24"/>
      <w:lang w:eastAsia="en-US"/>
    </w:rPr>
  </w:style>
  <w:style w:type="paragraph" w:styleId="a7">
    <w:name w:val="Balloon Text"/>
    <w:basedOn w:val="a"/>
    <w:link w:val="Char0"/>
    <w:rPr>
      <w:sz w:val="18"/>
      <w:szCs w:val="18"/>
    </w:rPr>
  </w:style>
  <w:style w:type="paragraph" w:customStyle="1" w:styleId="New0">
    <w:name w:val="正文 New"/>
    <w:pPr>
      <w:widowControl w:val="0"/>
      <w:jc w:val="both"/>
    </w:pPr>
    <w:rPr>
      <w:kern w:val="2"/>
      <w:sz w:val="21"/>
      <w:szCs w:val="24"/>
    </w:rPr>
  </w:style>
  <w:style w:type="paragraph" w:styleId="31">
    <w:name w:val="Body Text 3"/>
    <w:basedOn w:val="a"/>
    <w:pPr>
      <w:spacing w:line="480" w:lineRule="exact"/>
    </w:pPr>
    <w:rPr>
      <w:rFonts w:eastAsia="仿宋_GB2312"/>
      <w:sz w:val="32"/>
      <w:szCs w:val="30"/>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4"/>
    <w:pPr>
      <w:adjustRightInd w:val="0"/>
      <w:spacing w:line="436" w:lineRule="exact"/>
      <w:ind w:left="357"/>
      <w:jc w:val="left"/>
      <w:outlineLvl w:val="3"/>
    </w:pPr>
    <w:rPr>
      <w:rFonts w:ascii="Tahoma" w:hAnsi="Tahoma"/>
      <w:b/>
      <w:sz w:val="24"/>
    </w:rPr>
  </w:style>
  <w:style w:type="paragraph" w:customStyle="1" w:styleId="Normal">
    <w:name w:val="Normal"/>
    <w:pPr>
      <w:jc w:val="both"/>
    </w:pPr>
    <w:rPr>
      <w:rFonts w:ascii="Calibri" w:hAnsi="Calibri" w:cs="宋体"/>
      <w:kern w:val="2"/>
      <w:sz w:val="21"/>
      <w:szCs w:val="21"/>
    </w:rPr>
  </w:style>
  <w:style w:type="paragraph" w:customStyle="1" w:styleId="10">
    <w:name w:val="普通(网站)1"/>
    <w:basedOn w:val="a"/>
    <w:pPr>
      <w:widowControl/>
      <w:spacing w:before="100" w:beforeAutospacing="1" w:after="100" w:afterAutospacing="1"/>
      <w:jc w:val="left"/>
    </w:pPr>
    <w:rPr>
      <w:rFonts w:ascii="宋体" w:hAnsi="宋体" w:cs="宋体"/>
      <w:kern w:val="0"/>
      <w:sz w:val="24"/>
    </w:rPr>
  </w:style>
  <w:style w:type="paragraph" w:customStyle="1" w:styleId="11">
    <w:name w:val="无间隔1"/>
    <w:pPr>
      <w:adjustRightInd w:val="0"/>
      <w:snapToGrid w:val="0"/>
    </w:pPr>
    <w:rPr>
      <w:rFonts w:ascii="Tahoma" w:eastAsia="微软雅黑" w:hAnsi="Tahoma"/>
      <w:sz w:val="22"/>
      <w:szCs w:val="22"/>
    </w:rPr>
  </w:style>
  <w:style w:type="paragraph" w:customStyle="1" w:styleId="p0">
    <w:name w:val="p0"/>
    <w:basedOn w:val="a"/>
    <w:pPr>
      <w:widowControl/>
    </w:pPr>
    <w:rPr>
      <w:kern w:val="0"/>
      <w:szCs w:val="21"/>
    </w:rPr>
  </w:style>
  <w:style w:type="paragraph" w:styleId="af">
    <w:name w:val="Date"/>
    <w:basedOn w:val="a"/>
    <w:next w:val="a"/>
    <w:pPr>
      <w:ind w:leftChars="2500" w:left="100"/>
    </w:pPr>
    <w:rPr>
      <w:rFonts w:ascii="仿宋_GB2312" w:eastAsia="仿宋_GB2312"/>
      <w:sz w:val="32"/>
      <w:szCs w:val="32"/>
      <w:lang w:val="zh-CN"/>
    </w:rPr>
  </w:style>
  <w:style w:type="paragraph" w:styleId="a4">
    <w:name w:val="Document Map"/>
    <w:basedOn w:val="a"/>
    <w:link w:val="Char"/>
    <w:pPr>
      <w:shd w:val="clear" w:color="auto" w:fill="000080"/>
    </w:pPr>
  </w:style>
  <w:style w:type="paragraph" w:customStyle="1" w:styleId="Char3">
    <w:name w:val="Char3"/>
    <w:basedOn w:val="a"/>
    <w:pPr>
      <w:widowControl/>
      <w:spacing w:after="160" w:line="240" w:lineRule="exact"/>
      <w:jc w:val="left"/>
    </w:pPr>
    <w:rPr>
      <w:szCs w:val="20"/>
    </w:rPr>
  </w:style>
  <w:style w:type="paragraph" w:styleId="af0">
    <w:name w:val="List Paragraph"/>
    <w:basedOn w:val="a"/>
    <w:qFormat/>
    <w:pPr>
      <w:ind w:firstLineChars="200" w:firstLine="420"/>
    </w:pPr>
    <w:rPr>
      <w:rFonts w:ascii="Calibri" w:hAnsi="Calibri" w:cs="Calibri"/>
      <w:szCs w:val="21"/>
    </w:rPr>
  </w:style>
  <w:style w:type="paragraph" w:customStyle="1" w:styleId="NewNewNewNewNew">
    <w:name w:val="正文 New New New New New"/>
    <w:pPr>
      <w:widowControl w:val="0"/>
      <w:jc w:val="both"/>
    </w:pPr>
    <w:rPr>
      <w:kern w:val="2"/>
      <w:sz w:val="21"/>
      <w:szCs w:val="21"/>
    </w:rPr>
  </w:style>
  <w:style w:type="paragraph" w:customStyle="1" w:styleId="Char1CharCharChar">
    <w:name w:val="Char1 Char Char Char"/>
    <w:basedOn w:val="a"/>
    <w:rPr>
      <w:sz w:val="32"/>
      <w:szCs w:val="32"/>
    </w:rPr>
  </w:style>
  <w:style w:type="paragraph" w:styleId="21">
    <w:name w:val="Body Text Indent 2"/>
    <w:basedOn w:val="a"/>
    <w:pPr>
      <w:ind w:firstLine="435"/>
    </w:pPr>
    <w:rPr>
      <w:rFonts w:ascii="仿宋_GB2312" w:eastAsia="仿宋_GB2312"/>
      <w:sz w:val="32"/>
    </w:rPr>
  </w:style>
  <w:style w:type="paragraph" w:customStyle="1" w:styleId="30">
    <w:name w:val="标题3"/>
    <w:basedOn w:val="3"/>
    <w:link w:val="3CharChar"/>
    <w:pPr>
      <w:keepNext/>
      <w:keepLines/>
      <w:widowControl w:val="0"/>
      <w:spacing w:before="260" w:beforeAutospacing="0" w:after="260" w:afterAutospacing="0" w:line="416" w:lineRule="auto"/>
      <w:jc w:val="both"/>
    </w:pPr>
    <w:rPr>
      <w:rFonts w:eastAsia="仿宋_GB2312"/>
      <w:sz w:val="32"/>
      <w:szCs w:val="32"/>
    </w:rPr>
  </w:style>
  <w:style w:type="paragraph" w:customStyle="1" w:styleId="NewNewNewNewNewNew">
    <w:name w:val="正文 New New New New New New"/>
    <w:pPr>
      <w:widowControl w:val="0"/>
      <w:jc w:val="both"/>
    </w:pPr>
    <w:rPr>
      <w:kern w:val="2"/>
      <w:sz w:val="21"/>
      <w:szCs w:val="24"/>
    </w:rPr>
  </w:style>
  <w:style w:type="paragraph" w:customStyle="1" w:styleId="af1">
    <w:name w:val="样式"/>
    <w:pPr>
      <w:widowControl w:val="0"/>
      <w:autoSpaceDE w:val="0"/>
      <w:autoSpaceDN w:val="0"/>
      <w:adjustRightInd w:val="0"/>
    </w:pPr>
    <w:rPr>
      <w:rFonts w:ascii="宋体" w:hAnsi="宋体" w:cs="宋体"/>
      <w:sz w:val="24"/>
      <w:szCs w:val="24"/>
    </w:rPr>
  </w:style>
  <w:style w:type="paragraph" w:customStyle="1" w:styleId="WPSPlain">
    <w:name w:val="WPS Plain"/>
  </w:style>
  <w:style w:type="paragraph" w:styleId="32">
    <w:name w:val="Body Text Indent 3"/>
    <w:basedOn w:val="a"/>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customStyle="1" w:styleId="BodyTextIndent">
    <w:name w:val="Body Text Indent"/>
    <w:basedOn w:val="a"/>
    <w:pPr>
      <w:spacing w:after="120"/>
      <w:ind w:leftChars="200" w:left="420"/>
    </w:pPr>
    <w:rPr>
      <w:rFonts w:eastAsia="仿宋_GB2312"/>
      <w:sz w:val="32"/>
    </w:r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customStyle="1" w:styleId="p16">
    <w:name w:val="p16"/>
    <w:basedOn w:val="a"/>
    <w:pPr>
      <w:widowControl/>
    </w:pPr>
    <w:rPr>
      <w:rFonts w:ascii="Calibri" w:hAnsi="Calibri" w:cs="宋体"/>
      <w:kern w:val="0"/>
      <w:szCs w:val="21"/>
    </w:rPr>
  </w:style>
  <w:style w:type="paragraph" w:customStyle="1" w:styleId="NewNewNewNewNewNewNewNew">
    <w:name w:val="正文 New New New New New New New New"/>
    <w:pPr>
      <w:widowControl w:val="0"/>
      <w:jc w:val="both"/>
    </w:pPr>
    <w:rPr>
      <w:rFonts w:ascii="Calibri" w:hAnsi="Calibri" w:cs="Calibri"/>
      <w:kern w:val="2"/>
      <w:sz w:val="21"/>
      <w:szCs w:val="21"/>
    </w:rPr>
  </w:style>
  <w:style w:type="paragraph" w:customStyle="1" w:styleId="CharCharCharCharCharChar0">
    <w:name w:val="Char Char Char Char Char Char"/>
    <w:basedOn w:val="a"/>
    <w:rPr>
      <w:rFonts w:ascii="Calibri" w:eastAsia="仿宋_GB2312" w:hAnsi="Calibri" w:cs="Calibri"/>
      <w:sz w:val="32"/>
      <w:szCs w:val="32"/>
    </w:rPr>
  </w:style>
  <w:style w:type="paragraph" w:customStyle="1" w:styleId="33">
    <w:name w:val="无间隔3"/>
    <w:pPr>
      <w:adjustRightInd w:val="0"/>
      <w:snapToGrid w:val="0"/>
    </w:pPr>
    <w:rPr>
      <w:rFonts w:ascii="Tahoma" w:eastAsia="微软雅黑" w:hAnsi="Tahoma"/>
      <w:sz w:val="2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513</Words>
  <Characters>2930</Characters>
  <Application>Microsoft Office Word</Application>
  <DocSecurity>0</DocSecurity>
  <PresentationFormat/>
  <Lines>24</Lines>
  <Paragraphs>6</Paragraphs>
  <Slides>0</Slides>
  <Notes>0</Notes>
  <HiddenSlides>0</HiddenSlides>
  <MMClips>0</MMClips>
  <ScaleCrop>false</ScaleCrop>
  <Company>CHINA</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淄博市周村区人民政府文件</dc:title>
  <dc:creator>user_common</dc:creator>
  <cp:lastModifiedBy>dreamsummit</cp:lastModifiedBy>
  <cp:revision>7</cp:revision>
  <cp:lastPrinted>2020-06-05T08:39:00Z</cp:lastPrinted>
  <dcterms:created xsi:type="dcterms:W3CDTF">2021-01-14T06:32:00Z</dcterms:created>
  <dcterms:modified xsi:type="dcterms:W3CDTF">2021-01-14T06:59:00Z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