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spacing w:before="0" w:beforeAutospacing="0" w:after="0" w:afterAutospacing="0" w:line="600" w:lineRule="exact"/>
        <w:jc w:val="center"/>
        <w:rPr>
          <w:rFonts w:hint="eastAsia" w:ascii="黑体" w:hAnsi="黑体" w:eastAsia="黑体"/>
          <w:sz w:val="44"/>
        </w:rPr>
      </w:pPr>
      <w:r>
        <w:rPr>
          <w:rFonts w:hint="eastAsia" w:ascii="黑体" w:hAnsi="黑体" w:eastAsia="黑体"/>
          <w:sz w:val="44"/>
        </w:rPr>
        <w:t xml:space="preserve">  周村公安分局2019年度法治政府建设</w:t>
      </w:r>
    </w:p>
    <w:p>
      <w:pPr>
        <w:pStyle w:val="12"/>
        <w:spacing w:before="0" w:beforeAutospacing="0" w:after="0" w:afterAutospacing="0" w:line="600" w:lineRule="exact"/>
        <w:jc w:val="center"/>
        <w:rPr>
          <w:rFonts w:hint="eastAsia" w:ascii="黑体" w:hAnsi="黑体" w:eastAsia="黑体"/>
          <w:sz w:val="44"/>
        </w:rPr>
      </w:pPr>
      <w:r>
        <w:rPr>
          <w:rFonts w:hint="eastAsia" w:ascii="黑体" w:hAnsi="黑体" w:eastAsia="黑体"/>
          <w:sz w:val="44"/>
        </w:rPr>
        <w:t>工作报告</w:t>
      </w:r>
    </w:p>
    <w:p>
      <w:pPr>
        <w:pStyle w:val="12"/>
        <w:spacing w:before="0" w:beforeAutospacing="0" w:after="0" w:afterAutospacing="0" w:line="600" w:lineRule="exact"/>
        <w:ind w:firstLine="600" w:firstLineChars="200"/>
        <w:rPr>
          <w:rFonts w:hint="eastAsia" w:ascii="仿宋_GB2312" w:hAnsi="仿宋_GB2312" w:eastAsia="仿宋_GB2312"/>
          <w:sz w:val="30"/>
          <w:szCs w:val="30"/>
        </w:rPr>
      </w:pPr>
      <w:r>
        <w:rPr>
          <w:rFonts w:hint="eastAsia" w:ascii="仿宋_GB2312" w:hAnsi="仿宋_GB2312" w:eastAsia="仿宋_GB2312"/>
          <w:sz w:val="30"/>
          <w:szCs w:val="30"/>
        </w:rPr>
        <w:t>2019年，周村公安分局在区委、区政府的正确领导下，坚持以科学发展观为统领，认真贯彻落实《周村区法治政府建设实施纲要（2016-2020年）》，以建设法治政府为总体目标，科学规划、统筹安排、整体推进，为全区经济社会发展提供了坚实的法制保障。现将有关情况汇报如下：</w:t>
      </w:r>
    </w:p>
    <w:p>
      <w:pPr>
        <w:pStyle w:val="12"/>
        <w:spacing w:before="0" w:beforeAutospacing="0" w:after="0" w:afterAutospacing="0" w:line="600" w:lineRule="exact"/>
        <w:ind w:firstLine="600" w:firstLineChars="200"/>
        <w:rPr>
          <w:rFonts w:hint="eastAsia" w:ascii="楷体_GB2312" w:hAnsi="楷体_GB2312" w:eastAsia="楷体_GB2312"/>
          <w:sz w:val="30"/>
          <w:szCs w:val="30"/>
        </w:rPr>
      </w:pPr>
      <w:r>
        <w:rPr>
          <w:rStyle w:val="8"/>
          <w:rFonts w:hint="eastAsia" w:ascii="楷体_GB2312" w:hAnsi="楷体_GB2312" w:eastAsia="楷体_GB2312"/>
          <w:b w:val="0"/>
          <w:bCs w:val="0"/>
          <w:sz w:val="30"/>
          <w:szCs w:val="30"/>
        </w:rPr>
        <w:t>一、组织领导方面</w:t>
      </w:r>
    </w:p>
    <w:p>
      <w:pPr>
        <w:pStyle w:val="12"/>
        <w:spacing w:before="0" w:beforeAutospacing="0" w:after="0" w:afterAutospacing="0" w:line="600" w:lineRule="exact"/>
        <w:ind w:firstLine="600" w:firstLineChars="200"/>
        <w:rPr>
          <w:rFonts w:hint="eastAsia" w:ascii="楷体_GB2312" w:hAnsi="仿宋_GB2312" w:eastAsia="楷体_GB2312"/>
          <w:bCs/>
          <w:sz w:val="30"/>
          <w:szCs w:val="30"/>
        </w:rPr>
      </w:pPr>
      <w:r>
        <w:rPr>
          <w:rFonts w:hint="eastAsia" w:ascii="楷体_GB2312" w:hAnsi="仿宋" w:eastAsia="楷体_GB2312"/>
          <w:sz w:val="30"/>
          <w:szCs w:val="30"/>
        </w:rPr>
        <w:t>（</w:t>
      </w:r>
      <w:r>
        <w:rPr>
          <w:rFonts w:hint="eastAsia" w:ascii="楷体_GB2312" w:hAnsi="仿宋_GB2312" w:eastAsia="楷体_GB2312"/>
          <w:bCs/>
          <w:sz w:val="30"/>
          <w:szCs w:val="30"/>
        </w:rPr>
        <w:t>一）</w:t>
      </w:r>
      <w:r>
        <w:rPr>
          <w:rStyle w:val="8"/>
          <w:rFonts w:hint="eastAsia" w:ascii="楷体_GB2312" w:hAnsi="楷体_GB2312" w:eastAsia="楷体_GB2312"/>
          <w:b w:val="0"/>
          <w:bCs w:val="0"/>
          <w:sz w:val="30"/>
          <w:szCs w:val="30"/>
        </w:rPr>
        <w:t>依法行政保障情况。</w:t>
      </w:r>
      <w:r>
        <w:rPr>
          <w:rFonts w:hint="eastAsia" w:ascii="仿宋_GB2312" w:hAnsi="仿宋_GB2312" w:eastAsia="仿宋_GB2312"/>
          <w:sz w:val="30"/>
          <w:szCs w:val="30"/>
        </w:rPr>
        <w:t>为确保依法行政工作顺利实施，我局于年初制定了《周村公安分局2019年度法治工作要点》，并将依法行政工作纳入年度工作计划，落实到责任科室和具体责任人。与此同时，成立了依法行政工作领导小组，由局长担任组长、分管副局长担任副组长，负责领导小组的统筹决策工作，为我局依法行政工作的开展提供有力的组织保障。领导小组下设办公室，由法制室主任兼任领导小组办公室主任，相关科室负责人为办公室成员，具体负责各自法治创建工作的开展，形成了分工明确、责任到人、上下联动、层层抓落实的工作格局，推动了创建工作的顺利开展。</w:t>
      </w:r>
    </w:p>
    <w:p>
      <w:pPr>
        <w:pStyle w:val="12"/>
        <w:spacing w:before="0" w:beforeAutospacing="0" w:after="0" w:afterAutospacing="0" w:line="600" w:lineRule="exact"/>
        <w:ind w:firstLine="600"/>
        <w:rPr>
          <w:rFonts w:hint="eastAsia" w:ascii="仿宋_GB2312" w:hAnsi="仿宋_GB2312" w:eastAsia="仿宋_GB2312"/>
          <w:sz w:val="30"/>
          <w:szCs w:val="30"/>
        </w:rPr>
      </w:pPr>
      <w:r>
        <w:rPr>
          <w:rFonts w:hint="eastAsia" w:ascii="楷体_GB2312" w:hAnsi="仿宋_GB2312" w:eastAsia="楷体_GB2312"/>
          <w:bCs/>
          <w:sz w:val="30"/>
          <w:szCs w:val="30"/>
        </w:rPr>
        <w:t>（二）建立学法用法机制。</w:t>
      </w:r>
      <w:r>
        <w:rPr>
          <w:rFonts w:hint="eastAsia" w:ascii="仿宋_GB2312" w:hAnsi="仿宋_GB2312" w:eastAsia="仿宋_GB2312"/>
          <w:sz w:val="30"/>
          <w:szCs w:val="30"/>
        </w:rPr>
        <w:t>建立和完善依法行政工作领导小组定期会议制度，研究、部署创建工作，局领导班子每月一次在班子会上集中学习法律;局中层以上干部每季度召开一次局务会专题研究部署依法行政工作。我局采取局党总支集中学习、各支部学习、个人自学、研讨交流等方式，认真开展“不忘初心、牢记使命”活动，结合我局工作实际，不断增强依法治区使命感和责任感;按照全面依法治国的目标要求，学习《中国共产党廉洁自律准则》《中国共产党纪律处分条例》和十九大会议精神结合起来，敬畏纪律，守住底线，防微杜渐，提高执行党纪国法的自觉性和坚定性;推进建设法治政府和依法行政工作。</w:t>
      </w:r>
    </w:p>
    <w:p>
      <w:pPr>
        <w:pStyle w:val="12"/>
        <w:spacing w:before="0" w:beforeAutospacing="0" w:after="0" w:afterAutospacing="0" w:line="600" w:lineRule="exact"/>
        <w:ind w:firstLine="645"/>
        <w:rPr>
          <w:rFonts w:hint="eastAsia" w:ascii="仿宋_GB2312" w:hAnsi="仿宋_GB2312" w:eastAsia="仿宋_GB2312"/>
          <w:sz w:val="30"/>
          <w:szCs w:val="30"/>
        </w:rPr>
      </w:pPr>
      <w:r>
        <w:rPr>
          <w:rFonts w:hint="eastAsia" w:ascii="楷体_GB2312" w:hAnsi="仿宋" w:eastAsia="楷体_GB2312"/>
          <w:sz w:val="30"/>
          <w:szCs w:val="30"/>
        </w:rPr>
        <w:t>（三）完善局内规章制度。</w:t>
      </w:r>
      <w:r>
        <w:rPr>
          <w:rFonts w:hint="eastAsia" w:ascii="仿宋_GB2312" w:hAnsi="仿宋_GB2312" w:eastAsia="仿宋_GB2312"/>
          <w:sz w:val="30"/>
          <w:szCs w:val="30"/>
        </w:rPr>
        <w:t xml:space="preserve">针对公安执法工作实际和存在的问题，制定一系列执法的规范性文件和执法守则，如：执法责任制、案件评查考核制、案件办理终身制、案件审核把关制、办理案件主办人制、一案一评制、执法过错责任追究制等。从110接处警、现场取证等方面入手，严把执法“源头关”，从执法办案网上流转、网上审批、网上管理入手，严把“过程关”，从规范卷宗和涉案财物管理入手，严把执法“结案关”。保证每一项执法活动有章可循、有规可依，将民警的所有执法行为纳入规范化管理轨道。 </w:t>
      </w:r>
    </w:p>
    <w:p>
      <w:pPr>
        <w:pStyle w:val="12"/>
        <w:spacing w:before="0" w:beforeAutospacing="0" w:after="0" w:afterAutospacing="0" w:line="600" w:lineRule="exact"/>
        <w:rPr>
          <w:rFonts w:hint="eastAsia" w:ascii="仿宋_GB2312" w:hAnsi="仿宋_GB2312" w:eastAsia="仿宋_GB2312"/>
          <w:sz w:val="30"/>
          <w:szCs w:val="30"/>
        </w:rPr>
      </w:pPr>
      <w:r>
        <w:rPr>
          <w:rFonts w:hint="eastAsia" w:ascii="仿宋" w:hAnsi="仿宋" w:eastAsia="仿宋"/>
          <w:sz w:val="30"/>
          <w:szCs w:val="30"/>
        </w:rPr>
        <w:t>　　</w:t>
      </w:r>
      <w:r>
        <w:rPr>
          <w:rFonts w:hint="eastAsia" w:ascii="楷体_GB2312" w:hAnsi="仿宋" w:eastAsia="楷体_GB2312"/>
          <w:sz w:val="30"/>
          <w:szCs w:val="30"/>
        </w:rPr>
        <w:t>（四）开展规范性文件管理工作。</w:t>
      </w:r>
      <w:r>
        <w:rPr>
          <w:rFonts w:hint="eastAsia" w:ascii="仿宋_GB2312" w:hAnsi="仿宋_GB2312" w:eastAsia="仿宋_GB2312"/>
          <w:sz w:val="30"/>
          <w:szCs w:val="30"/>
        </w:rPr>
        <w:t>为进一步加强分局执法</w:t>
      </w:r>
      <w:r>
        <w:rPr>
          <w:rFonts w:hint="eastAsia" w:ascii="仿宋_GB2312" w:hAnsi="仿宋_GB2312" w:eastAsia="仿宋_GB2312"/>
          <w:sz w:val="30"/>
          <w:szCs w:val="30"/>
          <w:shd w:val="clear" w:color="auto" w:fill="FFFFFF"/>
        </w:rPr>
        <w:t>规范性文件</w:t>
      </w:r>
      <w:r>
        <w:rPr>
          <w:rFonts w:hint="eastAsia" w:ascii="仿宋_GB2312" w:hAnsi="仿宋_GB2312" w:eastAsia="仿宋_GB2312"/>
          <w:sz w:val="30"/>
          <w:szCs w:val="30"/>
        </w:rPr>
        <w:t>监督</w:t>
      </w:r>
      <w:r>
        <w:rPr>
          <w:rFonts w:hint="eastAsia" w:ascii="仿宋_GB2312" w:hAnsi="仿宋_GB2312" w:eastAsia="仿宋_GB2312"/>
          <w:sz w:val="30"/>
          <w:szCs w:val="30"/>
          <w:shd w:val="clear" w:color="auto" w:fill="FFFFFF"/>
        </w:rPr>
        <w:t>管理</w:t>
      </w:r>
      <w:r>
        <w:rPr>
          <w:rFonts w:hint="eastAsia" w:ascii="仿宋_GB2312" w:hAnsi="仿宋_GB2312" w:eastAsia="仿宋_GB2312"/>
          <w:sz w:val="30"/>
          <w:szCs w:val="30"/>
        </w:rPr>
        <w:t>，</w:t>
      </w:r>
      <w:r>
        <w:rPr>
          <w:rFonts w:hint="eastAsia" w:ascii="仿宋_GB2312" w:hAnsi="仿宋_GB2312" w:eastAsia="仿宋_GB2312"/>
          <w:sz w:val="30"/>
          <w:szCs w:val="30"/>
          <w:shd w:val="clear" w:color="auto" w:fill="FFFFFF"/>
        </w:rPr>
        <w:t>规范</w:t>
      </w:r>
      <w:r>
        <w:rPr>
          <w:rFonts w:hint="eastAsia" w:ascii="仿宋_GB2312" w:hAnsi="仿宋_GB2312" w:eastAsia="仿宋_GB2312"/>
          <w:sz w:val="30"/>
          <w:szCs w:val="30"/>
        </w:rPr>
        <w:t>执法</w:t>
      </w:r>
      <w:r>
        <w:rPr>
          <w:rFonts w:hint="eastAsia" w:ascii="仿宋_GB2312" w:hAnsi="仿宋_GB2312" w:eastAsia="仿宋_GB2312"/>
          <w:sz w:val="30"/>
          <w:szCs w:val="30"/>
          <w:shd w:val="clear" w:color="auto" w:fill="FFFFFF"/>
        </w:rPr>
        <w:t>规范性文件</w:t>
      </w:r>
      <w:r>
        <w:rPr>
          <w:rFonts w:hint="eastAsia" w:ascii="仿宋_GB2312" w:hAnsi="仿宋_GB2312" w:eastAsia="仿宋_GB2312"/>
          <w:sz w:val="30"/>
          <w:szCs w:val="30"/>
        </w:rPr>
        <w:t>法律审核、备案</w:t>
      </w:r>
      <w:r>
        <w:rPr>
          <w:rFonts w:hint="eastAsia" w:ascii="仿宋_GB2312" w:hAnsi="仿宋_GB2312" w:eastAsia="仿宋_GB2312"/>
          <w:sz w:val="30"/>
          <w:szCs w:val="30"/>
          <w:shd w:val="clear" w:color="auto" w:fill="FFFFFF"/>
        </w:rPr>
        <w:t>工作</w:t>
      </w:r>
      <w:r>
        <w:rPr>
          <w:rFonts w:hint="eastAsia" w:ascii="仿宋_GB2312" w:hAnsi="仿宋_GB2312" w:eastAsia="仿宋_GB2312"/>
          <w:sz w:val="30"/>
          <w:szCs w:val="30"/>
        </w:rPr>
        <w:t>，切实保证全局执法</w:t>
      </w:r>
      <w:r>
        <w:rPr>
          <w:rFonts w:hint="eastAsia" w:ascii="仿宋_GB2312" w:hAnsi="仿宋_GB2312" w:eastAsia="仿宋_GB2312"/>
          <w:sz w:val="30"/>
          <w:szCs w:val="30"/>
          <w:shd w:val="clear" w:color="auto" w:fill="FFFFFF"/>
        </w:rPr>
        <w:t>规范性文件</w:t>
      </w:r>
      <w:r>
        <w:rPr>
          <w:rFonts w:hint="eastAsia" w:ascii="仿宋_GB2312" w:hAnsi="仿宋_GB2312" w:eastAsia="仿宋_GB2312"/>
          <w:sz w:val="30"/>
          <w:szCs w:val="30"/>
        </w:rPr>
        <w:t>的合法、</w:t>
      </w:r>
      <w:r>
        <w:rPr>
          <w:rFonts w:hint="eastAsia" w:ascii="仿宋_GB2312" w:hAnsi="仿宋_GB2312" w:eastAsia="仿宋_GB2312"/>
          <w:sz w:val="30"/>
          <w:szCs w:val="30"/>
          <w:shd w:val="clear" w:color="auto" w:fill="FFFFFF"/>
        </w:rPr>
        <w:t>规范</w:t>
      </w:r>
      <w:r>
        <w:rPr>
          <w:rFonts w:hint="eastAsia" w:ascii="仿宋_GB2312" w:hAnsi="仿宋_GB2312" w:eastAsia="仿宋_GB2312"/>
          <w:sz w:val="30"/>
          <w:szCs w:val="30"/>
        </w:rPr>
        <w:t>，根据区政府关于进一步加强</w:t>
      </w:r>
      <w:r>
        <w:rPr>
          <w:rFonts w:hint="eastAsia" w:ascii="仿宋_GB2312" w:hAnsi="仿宋_GB2312" w:eastAsia="仿宋_GB2312"/>
          <w:sz w:val="30"/>
          <w:szCs w:val="30"/>
          <w:shd w:val="clear" w:color="auto" w:fill="FFFFFF"/>
        </w:rPr>
        <w:t>规范性文件</w:t>
      </w:r>
      <w:r>
        <w:rPr>
          <w:rFonts w:hint="eastAsia" w:ascii="仿宋_GB2312" w:hAnsi="仿宋_GB2312" w:eastAsia="仿宋_GB2312"/>
          <w:sz w:val="30"/>
          <w:szCs w:val="30"/>
        </w:rPr>
        <w:t>监督</w:t>
      </w:r>
      <w:r>
        <w:rPr>
          <w:rFonts w:hint="eastAsia" w:ascii="仿宋_GB2312" w:hAnsi="仿宋_GB2312" w:eastAsia="仿宋_GB2312"/>
          <w:sz w:val="30"/>
          <w:szCs w:val="30"/>
          <w:shd w:val="clear" w:color="auto" w:fill="FFFFFF"/>
        </w:rPr>
        <w:t>管理</w:t>
      </w:r>
      <w:r>
        <w:rPr>
          <w:rFonts w:hint="eastAsia" w:ascii="仿宋_GB2312" w:hAnsi="仿宋_GB2312" w:eastAsia="仿宋_GB2312"/>
          <w:sz w:val="30"/>
          <w:szCs w:val="30"/>
        </w:rPr>
        <w:t>的要求，结合我局实际情况，分局对近年制发的有关</w:t>
      </w:r>
      <w:r>
        <w:rPr>
          <w:rFonts w:hint="eastAsia" w:ascii="仿宋_GB2312" w:hAnsi="仿宋_GB2312" w:eastAsia="仿宋_GB2312"/>
          <w:sz w:val="30"/>
          <w:szCs w:val="30"/>
          <w:shd w:val="clear" w:color="auto" w:fill="FFFFFF"/>
        </w:rPr>
        <w:t>文件</w:t>
      </w:r>
      <w:r>
        <w:rPr>
          <w:rFonts w:hint="eastAsia" w:ascii="仿宋_GB2312" w:hAnsi="仿宋_GB2312" w:eastAsia="仿宋_GB2312"/>
          <w:sz w:val="30"/>
          <w:szCs w:val="30"/>
        </w:rPr>
        <w:t>进行了修订，研究制定了《执法</w:t>
      </w:r>
      <w:r>
        <w:rPr>
          <w:rFonts w:hint="eastAsia" w:ascii="仿宋_GB2312" w:hAnsi="仿宋_GB2312" w:eastAsia="仿宋_GB2312"/>
          <w:sz w:val="30"/>
          <w:szCs w:val="30"/>
          <w:shd w:val="clear" w:color="auto" w:fill="FFFFFF"/>
        </w:rPr>
        <w:t>规范性文件</w:t>
      </w:r>
      <w:r>
        <w:rPr>
          <w:rFonts w:hint="eastAsia" w:ascii="仿宋_GB2312" w:hAnsi="仿宋_GB2312" w:eastAsia="仿宋_GB2312"/>
          <w:sz w:val="30"/>
          <w:szCs w:val="30"/>
        </w:rPr>
        <w:t>监督</w:t>
      </w:r>
      <w:r>
        <w:rPr>
          <w:rFonts w:hint="eastAsia" w:ascii="仿宋_GB2312" w:hAnsi="仿宋_GB2312" w:eastAsia="仿宋_GB2312"/>
          <w:sz w:val="30"/>
          <w:szCs w:val="30"/>
          <w:shd w:val="clear" w:color="auto" w:fill="FFFFFF"/>
        </w:rPr>
        <w:t>管理</w:t>
      </w:r>
      <w:r>
        <w:rPr>
          <w:rFonts w:hint="eastAsia" w:ascii="仿宋_GB2312" w:hAnsi="仿宋_GB2312" w:eastAsia="仿宋_GB2312"/>
          <w:sz w:val="30"/>
          <w:szCs w:val="30"/>
        </w:rPr>
        <w:t>办法》。</w:t>
      </w:r>
    </w:p>
    <w:p>
      <w:pPr>
        <w:widowControl/>
        <w:spacing w:line="600" w:lineRule="exact"/>
        <w:jc w:val="left"/>
        <w:rPr>
          <w:rFonts w:hint="eastAsia" w:ascii="楷体_GB2312" w:hAnsi="楷体_GB2312" w:eastAsia="楷体_GB2312"/>
          <w:sz w:val="30"/>
          <w:szCs w:val="30"/>
        </w:rPr>
      </w:pPr>
      <w:r>
        <w:rPr>
          <w:rStyle w:val="8"/>
          <w:rFonts w:hint="eastAsia" w:ascii="仿宋" w:hAnsi="仿宋" w:eastAsia="仿宋"/>
          <w:sz w:val="30"/>
          <w:szCs w:val="30"/>
        </w:rPr>
        <w:t>　</w:t>
      </w:r>
      <w:r>
        <w:rPr>
          <w:rStyle w:val="8"/>
          <w:rFonts w:hint="eastAsia" w:ascii="楷体_GB2312" w:hAnsi="楷体_GB2312" w:eastAsia="楷体_GB2312"/>
          <w:sz w:val="30"/>
          <w:szCs w:val="30"/>
        </w:rPr>
        <w:t>　</w:t>
      </w:r>
      <w:r>
        <w:rPr>
          <w:rStyle w:val="8"/>
          <w:rFonts w:hint="eastAsia" w:ascii="楷体_GB2312" w:hAnsi="楷体_GB2312" w:eastAsia="楷体_GB2312"/>
          <w:b w:val="0"/>
          <w:bCs w:val="0"/>
          <w:sz w:val="30"/>
          <w:szCs w:val="30"/>
        </w:rPr>
        <w:t>二、行政决策情况</w:t>
      </w:r>
    </w:p>
    <w:p>
      <w:pPr>
        <w:pStyle w:val="12"/>
        <w:spacing w:before="0" w:beforeAutospacing="0" w:after="0" w:afterAutospacing="0" w:line="600" w:lineRule="exact"/>
        <w:ind w:firstLine="600" w:firstLineChars="200"/>
        <w:rPr>
          <w:rFonts w:hint="eastAsia" w:ascii="仿宋" w:hAnsi="仿宋" w:eastAsia="仿宋"/>
          <w:sz w:val="30"/>
          <w:szCs w:val="30"/>
        </w:rPr>
      </w:pPr>
      <w:r>
        <w:rPr>
          <w:rFonts w:hint="eastAsia" w:ascii="仿宋_GB2312" w:hAnsi="仿宋_GB2312" w:eastAsia="仿宋_GB2312"/>
          <w:sz w:val="30"/>
          <w:szCs w:val="30"/>
        </w:rPr>
        <w:t>进一步完善行政决策机制。建立健全会议制度，明确了局长办公会议、局务会议、全局干部会议、局业务会议、专题工作会议等程序和流程。</w:t>
      </w:r>
      <w:r>
        <w:rPr>
          <w:rFonts w:hint="eastAsia" w:ascii="仿宋" w:hAnsi="仿宋" w:eastAsia="仿宋"/>
          <w:sz w:val="30"/>
          <w:szCs w:val="30"/>
        </w:rPr>
        <w:t xml:space="preserve"> </w:t>
      </w:r>
    </w:p>
    <w:p>
      <w:pPr>
        <w:pStyle w:val="12"/>
        <w:spacing w:before="0" w:beforeAutospacing="0" w:after="0" w:afterAutospacing="0" w:line="600" w:lineRule="exact"/>
        <w:ind w:firstLine="600" w:firstLineChars="200"/>
        <w:rPr>
          <w:rStyle w:val="8"/>
          <w:rFonts w:hint="eastAsia" w:ascii="楷体_GB2312" w:hAnsi="楷体_GB2312" w:eastAsia="楷体_GB2312"/>
          <w:b w:val="0"/>
          <w:bCs w:val="0"/>
          <w:sz w:val="30"/>
          <w:szCs w:val="30"/>
        </w:rPr>
      </w:pPr>
      <w:r>
        <w:rPr>
          <w:rStyle w:val="8"/>
          <w:rFonts w:hint="eastAsia" w:ascii="楷体_GB2312" w:hAnsi="楷体_GB2312" w:eastAsia="楷体_GB2312"/>
          <w:b w:val="0"/>
          <w:sz w:val="30"/>
          <w:szCs w:val="30"/>
        </w:rPr>
        <w:t>三、落实</w:t>
      </w:r>
      <w:r>
        <w:rPr>
          <w:rStyle w:val="8"/>
          <w:rFonts w:hint="eastAsia" w:ascii="楷体_GB2312" w:hAnsi="楷体_GB2312" w:eastAsia="楷体_GB2312"/>
          <w:b w:val="0"/>
          <w:bCs w:val="0"/>
          <w:sz w:val="30"/>
          <w:szCs w:val="30"/>
        </w:rPr>
        <w:t>行政执法“三项制度”情况</w:t>
      </w:r>
    </w:p>
    <w:p>
      <w:pPr>
        <w:snapToGrid w:val="0"/>
        <w:spacing w:line="600" w:lineRule="exact"/>
        <w:ind w:firstLine="645"/>
        <w:rPr>
          <w:rFonts w:hint="eastAsia" w:ascii="仿宋_GB2312" w:hAnsi="仿宋_GB2312" w:eastAsia="仿宋_GB2312" w:cs="宋体"/>
          <w:kern w:val="0"/>
          <w:sz w:val="30"/>
          <w:szCs w:val="30"/>
        </w:rPr>
      </w:pPr>
      <w:r>
        <w:rPr>
          <w:rFonts w:hint="eastAsia" w:ascii="仿宋_GB2312" w:hAnsi="仿宋_GB2312" w:eastAsia="仿宋_GB2312" w:cs="宋体"/>
          <w:kern w:val="0"/>
          <w:sz w:val="30"/>
          <w:szCs w:val="30"/>
        </w:rPr>
        <w:t xml:space="preserve">严格落实行政执法“三项制度”，在推行行政执法公示制度中，认真全面梳理了分局《责任清单》、《权力清单》，按照发展规划、政策法规、专项业务等顺序，明确具体工作事项，确保了部门职责的真实性、准确性、完整性；在推行执法全过程记录制度中，实现了执法全过程音像记录，文字记录；在推行重大执法决定法制审核制度中，编制了重大执法决定法制审核目录清单，制定了重大执法决定法制审核流程。 </w:t>
      </w:r>
    </w:p>
    <w:p>
      <w:pPr>
        <w:pStyle w:val="12"/>
        <w:numPr>
          <w:ilvl w:val="0"/>
          <w:numId w:val="1"/>
        </w:numPr>
        <w:spacing w:before="0" w:beforeAutospacing="0" w:after="0" w:afterAutospacing="0" w:line="600" w:lineRule="exact"/>
        <w:ind w:firstLine="600" w:firstLineChars="200"/>
        <w:rPr>
          <w:rStyle w:val="8"/>
          <w:rFonts w:hint="eastAsia" w:ascii="楷体_GB2312" w:hAnsi="楷体_GB2312" w:eastAsia="楷体_GB2312"/>
          <w:b w:val="0"/>
          <w:bCs w:val="0"/>
          <w:sz w:val="30"/>
          <w:szCs w:val="30"/>
        </w:rPr>
      </w:pPr>
      <w:r>
        <w:rPr>
          <w:rStyle w:val="8"/>
          <w:rFonts w:hint="eastAsia" w:ascii="楷体_GB2312" w:hAnsi="楷体_GB2312" w:eastAsia="楷体_GB2312"/>
          <w:b w:val="0"/>
          <w:bCs w:val="0"/>
          <w:sz w:val="30"/>
          <w:szCs w:val="30"/>
        </w:rPr>
        <w:t>行政执法情况</w:t>
      </w:r>
    </w:p>
    <w:p>
      <w:pPr>
        <w:widowControl/>
        <w:shd w:val="clear" w:color="auto" w:fill="FFFFFF"/>
        <w:spacing w:line="600" w:lineRule="exact"/>
        <w:ind w:firstLine="600"/>
        <w:rPr>
          <w:rFonts w:ascii="仿宋" w:hAnsi="仿宋" w:cs="宋体"/>
          <w:color w:val="3F3F3F"/>
          <w:kern w:val="0"/>
          <w:sz w:val="30"/>
          <w:szCs w:val="30"/>
        </w:rPr>
      </w:pPr>
      <w:r>
        <w:rPr>
          <w:rFonts w:hint="eastAsia" w:ascii="楷体_GB2312" w:hAnsi="仿宋" w:eastAsia="楷体_GB2312" w:cs="宋体"/>
          <w:color w:val="000000"/>
          <w:kern w:val="0"/>
          <w:sz w:val="30"/>
          <w:szCs w:val="30"/>
        </w:rPr>
        <w:t>（一）转变执法观念，树立依法行政、依法办案的思想。</w:t>
      </w:r>
      <w:r>
        <w:rPr>
          <w:rFonts w:hint="eastAsia" w:ascii="仿宋_GB2312" w:hAnsi="仿宋" w:eastAsia="仿宋_GB2312" w:cs="宋体"/>
          <w:color w:val="000000"/>
          <w:kern w:val="0"/>
          <w:sz w:val="30"/>
          <w:szCs w:val="30"/>
        </w:rPr>
        <w:t>每位执法民警掌握本执法领域的相关法律知识树立法律至上意识，在各项执法活动中，以“法律为准绳”、“对法律负责”作为执法民警的自觉行动。在办案过程中，强化证据意识，在执法过程中，树立程序公正意识。</w:t>
      </w:r>
    </w:p>
    <w:p>
      <w:pPr>
        <w:widowControl/>
        <w:shd w:val="clear" w:color="auto" w:fill="FFFFFF"/>
        <w:spacing w:line="600" w:lineRule="exact"/>
        <w:ind w:firstLine="600"/>
        <w:rPr>
          <w:rFonts w:ascii="仿宋" w:hAnsi="仿宋" w:cs="宋体"/>
          <w:color w:val="3F3F3F"/>
          <w:kern w:val="0"/>
          <w:sz w:val="30"/>
          <w:szCs w:val="30"/>
        </w:rPr>
      </w:pPr>
      <w:r>
        <w:rPr>
          <w:rFonts w:hint="eastAsia" w:ascii="楷体_GB2312" w:hAnsi="仿宋" w:eastAsia="楷体_GB2312" w:cs="宋体"/>
          <w:color w:val="000000"/>
          <w:kern w:val="0"/>
          <w:sz w:val="30"/>
          <w:szCs w:val="30"/>
        </w:rPr>
        <w:t>（二）规范执法环节，推进公安执法规范化、法制化。</w:t>
      </w:r>
      <w:r>
        <w:rPr>
          <w:rFonts w:hint="eastAsia" w:ascii="仿宋_GB2312" w:hAnsi="仿宋" w:eastAsia="仿宋_GB2312" w:cs="宋体"/>
          <w:color w:val="000000"/>
          <w:kern w:val="0"/>
          <w:sz w:val="30"/>
          <w:szCs w:val="30"/>
        </w:rPr>
        <w:t xml:space="preserve">对公安机关的每一个执法行为、执法环节、执法措施制定明确、严密、标准、可操作性强的规定，使执法工作规范化、标准化、法制化、正规化。 </w:t>
      </w:r>
      <w:r>
        <w:rPr>
          <w:rFonts w:hint="eastAsia" w:ascii="楷体_GB2312" w:hAnsi="仿宋" w:eastAsia="楷体_GB2312" w:cs="宋体"/>
          <w:color w:val="000000"/>
          <w:kern w:val="0"/>
          <w:sz w:val="30"/>
          <w:szCs w:val="30"/>
        </w:rPr>
        <w:t xml:space="preserve"> </w:t>
      </w:r>
    </w:p>
    <w:p>
      <w:pPr>
        <w:widowControl/>
        <w:shd w:val="clear" w:color="auto" w:fill="FFFFFF"/>
        <w:spacing w:line="600" w:lineRule="exact"/>
        <w:ind w:firstLine="600"/>
        <w:jc w:val="left"/>
        <w:rPr>
          <w:rFonts w:hint="eastAsia" w:ascii="仿宋_GB2312" w:hAnsi="仿宋_GB2312" w:eastAsia="仿宋_GB2312"/>
          <w:sz w:val="30"/>
          <w:szCs w:val="30"/>
        </w:rPr>
      </w:pPr>
      <w:r>
        <w:rPr>
          <w:rFonts w:hint="eastAsia" w:ascii="楷体_GB2312" w:hAnsi="仿宋" w:eastAsia="楷体_GB2312" w:cs="宋体"/>
          <w:color w:val="000000"/>
          <w:kern w:val="0"/>
          <w:sz w:val="30"/>
          <w:szCs w:val="30"/>
        </w:rPr>
        <w:t>（三）强化执法管理，推进整体执法水平稳步提高。</w:t>
      </w:r>
      <w:r>
        <w:rPr>
          <w:rFonts w:hint="eastAsia" w:ascii="仿宋_GB2312" w:hAnsi="仿宋" w:eastAsia="仿宋_GB2312" w:cs="宋体"/>
          <w:color w:val="000000"/>
          <w:kern w:val="0"/>
          <w:sz w:val="30"/>
          <w:szCs w:val="30"/>
        </w:rPr>
        <w:t>充分运用案件审核、执法检查、执法质量考评、责任追究等现有手段的基础上，</w:t>
      </w:r>
      <w:r>
        <w:rPr>
          <w:rFonts w:hint="eastAsia" w:ascii="仿宋_GB2312" w:hAnsi="仿宋_GB2312" w:eastAsia="仿宋_GB2312"/>
          <w:sz w:val="30"/>
          <w:szCs w:val="30"/>
        </w:rPr>
        <w:t>严格执行网上办案，每季度组织案件评查，每月开展网上案件巡查及现场执法检查，确保无重大违法过错发生。</w:t>
      </w:r>
      <w:r>
        <w:rPr>
          <w:rFonts w:hint="eastAsia" w:ascii="仿宋_GB2312" w:hAnsi="仿宋" w:eastAsia="仿宋_GB2312" w:cs="宋体"/>
          <w:color w:val="000000"/>
          <w:kern w:val="0"/>
          <w:sz w:val="30"/>
          <w:szCs w:val="30"/>
        </w:rPr>
        <w:t xml:space="preserve"> </w:t>
      </w:r>
    </w:p>
    <w:p>
      <w:pPr>
        <w:pStyle w:val="12"/>
        <w:spacing w:before="0" w:beforeAutospacing="0" w:after="0" w:afterAutospacing="0" w:line="600" w:lineRule="exact"/>
        <w:ind w:firstLine="600" w:firstLineChars="200"/>
        <w:rPr>
          <w:rStyle w:val="8"/>
          <w:rFonts w:hint="eastAsia" w:ascii="楷体_GB2312" w:hAnsi="楷体_GB2312" w:eastAsia="楷体_GB2312"/>
          <w:b w:val="0"/>
          <w:bCs w:val="0"/>
          <w:sz w:val="30"/>
          <w:szCs w:val="30"/>
        </w:rPr>
      </w:pPr>
      <w:r>
        <w:rPr>
          <w:rStyle w:val="8"/>
          <w:rFonts w:hint="eastAsia" w:ascii="楷体_GB2312" w:hAnsi="楷体_GB2312" w:eastAsia="楷体_GB2312"/>
          <w:b w:val="0"/>
          <w:bCs w:val="0"/>
          <w:sz w:val="30"/>
          <w:szCs w:val="30"/>
        </w:rPr>
        <w:t>五、行政行为监督情况</w:t>
      </w:r>
    </w:p>
    <w:p>
      <w:pPr>
        <w:pStyle w:val="13"/>
        <w:widowControl/>
        <w:spacing w:line="600" w:lineRule="exact"/>
        <w:ind w:firstLine="600" w:firstLineChars="200"/>
        <w:jc w:val="left"/>
        <w:rPr>
          <w:rFonts w:hint="eastAsia" w:ascii="仿宋_GB2312" w:hAnsi="仿宋_GB2312" w:eastAsia="仿宋_GB2312"/>
          <w:sz w:val="30"/>
          <w:szCs w:val="30"/>
        </w:rPr>
      </w:pPr>
      <w:r>
        <w:rPr>
          <w:rFonts w:hint="eastAsia" w:ascii="仿宋_GB2312" w:hAnsi="仿宋_GB2312" w:eastAsia="仿宋_GB2312"/>
          <w:sz w:val="30"/>
          <w:szCs w:val="30"/>
        </w:rPr>
        <w:t>针对当前维稳形势，分局进一步加强</w:t>
      </w:r>
      <w:r>
        <w:rPr>
          <w:rFonts w:hint="eastAsia" w:ascii="仿宋_GB2312" w:hAnsi="仿宋_GB2312" w:eastAsia="仿宋_GB2312"/>
          <w:sz w:val="30"/>
          <w:szCs w:val="30"/>
          <w:shd w:val="clear" w:color="auto" w:fill="FFFFFF"/>
        </w:rPr>
        <w:t>社会矛盾</w:t>
      </w:r>
      <w:r>
        <w:rPr>
          <w:rFonts w:hint="eastAsia" w:ascii="仿宋_GB2312" w:hAnsi="仿宋_GB2312" w:eastAsia="仿宋_GB2312"/>
          <w:sz w:val="30"/>
          <w:szCs w:val="30"/>
        </w:rPr>
        <w:t>排查</w:t>
      </w:r>
      <w:r>
        <w:rPr>
          <w:rFonts w:hint="eastAsia" w:ascii="仿宋_GB2312" w:hAnsi="仿宋_GB2312" w:eastAsia="仿宋_GB2312"/>
          <w:sz w:val="30"/>
          <w:szCs w:val="30"/>
          <w:shd w:val="clear" w:color="auto" w:fill="FFFFFF"/>
        </w:rPr>
        <w:t>化解</w:t>
      </w:r>
      <w:r>
        <w:rPr>
          <w:rFonts w:hint="eastAsia" w:ascii="仿宋_GB2312" w:hAnsi="仿宋_GB2312" w:eastAsia="仿宋_GB2312"/>
          <w:sz w:val="30"/>
          <w:szCs w:val="30"/>
        </w:rPr>
        <w:t>工程建设，采取四项措施，全面排查</w:t>
      </w:r>
      <w:r>
        <w:rPr>
          <w:rFonts w:hint="eastAsia" w:ascii="仿宋_GB2312" w:hAnsi="仿宋_GB2312" w:eastAsia="仿宋_GB2312"/>
          <w:sz w:val="30"/>
          <w:szCs w:val="30"/>
          <w:shd w:val="clear" w:color="auto" w:fill="FFFFFF"/>
        </w:rPr>
        <w:t>化解</w:t>
      </w:r>
      <w:r>
        <w:rPr>
          <w:rFonts w:hint="eastAsia" w:ascii="仿宋_GB2312" w:hAnsi="仿宋_GB2312" w:eastAsia="仿宋_GB2312"/>
          <w:sz w:val="30"/>
          <w:szCs w:val="30"/>
        </w:rPr>
        <w:t>各类</w:t>
      </w:r>
      <w:r>
        <w:rPr>
          <w:rFonts w:hint="eastAsia" w:ascii="仿宋_GB2312" w:hAnsi="仿宋_GB2312" w:eastAsia="仿宋_GB2312"/>
          <w:sz w:val="30"/>
          <w:szCs w:val="30"/>
          <w:shd w:val="clear" w:color="auto" w:fill="FFFFFF"/>
        </w:rPr>
        <w:t>社会矛盾</w:t>
      </w:r>
      <w:r>
        <w:rPr>
          <w:rFonts w:hint="eastAsia" w:ascii="仿宋_GB2312" w:hAnsi="仿宋_GB2312" w:eastAsia="仿宋_GB2312"/>
          <w:sz w:val="30"/>
          <w:szCs w:val="30"/>
        </w:rPr>
        <w:t>纠纷，全力维护</w:t>
      </w:r>
      <w:r>
        <w:rPr>
          <w:rFonts w:hint="eastAsia" w:ascii="仿宋_GB2312" w:hAnsi="仿宋_GB2312" w:eastAsia="仿宋_GB2312"/>
          <w:sz w:val="30"/>
          <w:szCs w:val="30"/>
          <w:shd w:val="clear" w:color="auto" w:fill="FFFFFF"/>
        </w:rPr>
        <w:t>社会</w:t>
      </w:r>
      <w:r>
        <w:rPr>
          <w:rFonts w:hint="eastAsia" w:ascii="仿宋_GB2312" w:hAnsi="仿宋_GB2312" w:eastAsia="仿宋_GB2312"/>
          <w:sz w:val="30"/>
          <w:szCs w:val="30"/>
        </w:rPr>
        <w:t>和谐稳定。</w:t>
      </w:r>
      <w:r>
        <w:rPr>
          <w:rFonts w:hint="eastAsia" w:ascii="楷体_GB2312" w:hAnsi="仿宋_GB2312" w:eastAsia="楷体_GB2312"/>
          <w:bCs/>
          <w:sz w:val="30"/>
          <w:szCs w:val="30"/>
        </w:rPr>
        <w:t>一是立足</w:t>
      </w:r>
      <w:r>
        <w:rPr>
          <w:rFonts w:hint="eastAsia" w:ascii="楷体_GB2312" w:hAnsi="仿宋_GB2312" w:eastAsia="楷体_GB2312"/>
          <w:bCs/>
          <w:sz w:val="30"/>
          <w:szCs w:val="30"/>
          <w:shd w:val="clear" w:color="auto" w:fill="FFFFFF"/>
        </w:rPr>
        <w:t>防范</w:t>
      </w:r>
      <w:r>
        <w:rPr>
          <w:rFonts w:hint="eastAsia" w:ascii="楷体_GB2312" w:hAnsi="仿宋_GB2312" w:eastAsia="楷体_GB2312"/>
          <w:bCs/>
          <w:sz w:val="30"/>
          <w:szCs w:val="30"/>
        </w:rPr>
        <w:t>，及时排查超前掌握。</w:t>
      </w:r>
      <w:r>
        <w:rPr>
          <w:rFonts w:hint="eastAsia" w:ascii="仿宋_GB2312" w:hAnsi="仿宋_GB2312" w:eastAsia="仿宋_GB2312"/>
          <w:sz w:val="30"/>
          <w:szCs w:val="30"/>
        </w:rPr>
        <w:t>分局组织派出所民警广泛开展</w:t>
      </w:r>
      <w:r>
        <w:rPr>
          <w:rFonts w:hint="eastAsia" w:ascii="仿宋_GB2312" w:hAnsi="仿宋_GB2312" w:eastAsia="仿宋_GB2312"/>
          <w:sz w:val="30"/>
          <w:szCs w:val="30"/>
          <w:shd w:val="clear" w:color="auto" w:fill="FFFFFF"/>
        </w:rPr>
        <w:t>矛盾</w:t>
      </w:r>
      <w:r>
        <w:rPr>
          <w:rFonts w:hint="eastAsia" w:ascii="仿宋_GB2312" w:hAnsi="仿宋_GB2312" w:eastAsia="仿宋_GB2312"/>
          <w:sz w:val="30"/>
          <w:szCs w:val="30"/>
        </w:rPr>
        <w:t>纠纷摸排，适时召开群众座谈会，及时获取引发</w:t>
      </w:r>
      <w:r>
        <w:rPr>
          <w:rFonts w:hint="eastAsia" w:ascii="仿宋_GB2312" w:hAnsi="仿宋_GB2312" w:eastAsia="仿宋_GB2312"/>
          <w:sz w:val="30"/>
          <w:szCs w:val="30"/>
          <w:shd w:val="clear" w:color="auto" w:fill="FFFFFF"/>
        </w:rPr>
        <w:t>矛盾</w:t>
      </w:r>
      <w:r>
        <w:rPr>
          <w:rFonts w:hint="eastAsia" w:ascii="仿宋_GB2312" w:hAnsi="仿宋_GB2312" w:eastAsia="仿宋_GB2312"/>
          <w:sz w:val="30"/>
          <w:szCs w:val="30"/>
        </w:rPr>
        <w:t>纠纷的苗头性、倾向性、预警性信息线索，准确把握</w:t>
      </w:r>
      <w:r>
        <w:rPr>
          <w:rFonts w:hint="eastAsia" w:ascii="仿宋_GB2312" w:hAnsi="仿宋_GB2312" w:eastAsia="仿宋_GB2312"/>
          <w:sz w:val="30"/>
          <w:szCs w:val="30"/>
          <w:shd w:val="clear" w:color="auto" w:fill="FFFFFF"/>
        </w:rPr>
        <w:t>矛盾</w:t>
      </w:r>
      <w:r>
        <w:rPr>
          <w:rFonts w:hint="eastAsia" w:ascii="仿宋_GB2312" w:hAnsi="仿宋_GB2312" w:eastAsia="仿宋_GB2312"/>
          <w:sz w:val="30"/>
          <w:szCs w:val="30"/>
        </w:rPr>
        <w:t>纠纷动态和重点人员动向，超前做好预防和应对工作，切实把各类不稳定因素解决在萌芽状态。</w:t>
      </w:r>
      <w:r>
        <w:rPr>
          <w:rFonts w:hint="eastAsia" w:ascii="楷体_GB2312" w:hAnsi="仿宋_GB2312" w:eastAsia="楷体_GB2312"/>
          <w:bCs/>
          <w:sz w:val="30"/>
          <w:szCs w:val="30"/>
        </w:rPr>
        <w:t>二是健全机制，快速反应果断处置。</w:t>
      </w:r>
      <w:r>
        <w:rPr>
          <w:rFonts w:hint="eastAsia" w:ascii="仿宋_GB2312" w:hAnsi="仿宋_GB2312" w:eastAsia="仿宋_GB2312"/>
          <w:sz w:val="30"/>
          <w:szCs w:val="30"/>
        </w:rPr>
        <w:t>为切实增强</w:t>
      </w:r>
      <w:r>
        <w:rPr>
          <w:rFonts w:hint="eastAsia" w:ascii="仿宋_GB2312" w:hAnsi="仿宋_GB2312" w:eastAsia="仿宋_GB2312"/>
          <w:sz w:val="30"/>
          <w:szCs w:val="30"/>
          <w:shd w:val="clear" w:color="auto" w:fill="FFFFFF"/>
        </w:rPr>
        <w:t>矛盾</w:t>
      </w:r>
      <w:r>
        <w:rPr>
          <w:rFonts w:hint="eastAsia" w:ascii="仿宋_GB2312" w:hAnsi="仿宋_GB2312" w:eastAsia="仿宋_GB2312"/>
          <w:sz w:val="30"/>
          <w:szCs w:val="30"/>
        </w:rPr>
        <w:t>纠纷调处工作的针对性和实效性，分局进一步完善了接处警制度，建立了指挥统一、反应灵敏、机动灵活、协调有序、运行高效的警务机制，确保了对各类纠纷能快速反应、快速决策、快速处置。</w:t>
      </w:r>
      <w:r>
        <w:rPr>
          <w:rFonts w:hint="eastAsia" w:ascii="楷体_GB2312" w:hAnsi="仿宋_GB2312" w:eastAsia="楷体_GB2312"/>
          <w:bCs/>
          <w:sz w:val="30"/>
          <w:szCs w:val="30"/>
        </w:rPr>
        <w:t>三是注重细节，找准核心妥善化解。</w:t>
      </w:r>
      <w:r>
        <w:rPr>
          <w:rFonts w:hint="eastAsia" w:ascii="仿宋_GB2312" w:hAnsi="仿宋_GB2312" w:eastAsia="仿宋_GB2312"/>
          <w:sz w:val="30"/>
          <w:szCs w:val="30"/>
        </w:rPr>
        <w:t>工作中，要求全局民警在处置企业与职工劳资纠纷、民事纠纷等问题引起的</w:t>
      </w:r>
      <w:r>
        <w:rPr>
          <w:rFonts w:hint="eastAsia" w:ascii="仿宋_GB2312" w:hAnsi="仿宋_GB2312" w:eastAsia="仿宋_GB2312"/>
          <w:sz w:val="30"/>
          <w:szCs w:val="30"/>
          <w:shd w:val="clear" w:color="auto" w:fill="FFFFFF"/>
        </w:rPr>
        <w:t>矛盾</w:t>
      </w:r>
      <w:r>
        <w:rPr>
          <w:rFonts w:hint="eastAsia" w:ascii="仿宋_GB2312" w:hAnsi="仿宋_GB2312" w:eastAsia="仿宋_GB2312"/>
          <w:sz w:val="30"/>
          <w:szCs w:val="30"/>
        </w:rPr>
        <w:t>纠纷时，要深入调查情况，</w:t>
      </w:r>
      <w:r>
        <w:rPr>
          <w:rFonts w:hint="eastAsia" w:ascii="楷体_GB2312" w:hAnsi="仿宋_GB2312" w:eastAsia="楷体_GB2312"/>
          <w:bCs/>
          <w:sz w:val="30"/>
          <w:szCs w:val="30"/>
        </w:rPr>
        <w:t>周密分析问题</w:t>
      </w:r>
      <w:r>
        <w:rPr>
          <w:rFonts w:hint="eastAsia" w:ascii="仿宋_GB2312" w:hAnsi="仿宋_GB2312" w:eastAsia="仿宋_GB2312"/>
          <w:sz w:val="30"/>
          <w:szCs w:val="30"/>
        </w:rPr>
        <w:t>，不重此轻彼，不偏听偏信，善于抓住问题的实质，从根源入手，对症下药，在</w:t>
      </w:r>
      <w:r>
        <w:rPr>
          <w:rFonts w:hint="eastAsia" w:ascii="仿宋_GB2312" w:hAnsi="仿宋_GB2312" w:eastAsia="仿宋_GB2312"/>
          <w:sz w:val="30"/>
          <w:szCs w:val="30"/>
          <w:shd w:val="clear" w:color="auto" w:fill="FFFFFF"/>
        </w:rPr>
        <w:t>化解</w:t>
      </w:r>
      <w:r>
        <w:rPr>
          <w:rFonts w:hint="eastAsia" w:ascii="仿宋_GB2312" w:hAnsi="仿宋_GB2312" w:eastAsia="仿宋_GB2312"/>
          <w:sz w:val="30"/>
          <w:szCs w:val="30"/>
        </w:rPr>
        <w:t>当前纠纷的同时，设法解决双方积怨，防止</w:t>
      </w:r>
      <w:r>
        <w:rPr>
          <w:rFonts w:hint="eastAsia" w:ascii="仿宋_GB2312" w:hAnsi="仿宋_GB2312" w:eastAsia="仿宋_GB2312"/>
          <w:sz w:val="30"/>
          <w:szCs w:val="30"/>
          <w:shd w:val="clear" w:color="auto" w:fill="FFFFFF"/>
        </w:rPr>
        <w:t>矛盾</w:t>
      </w:r>
      <w:r>
        <w:rPr>
          <w:rFonts w:hint="eastAsia" w:ascii="仿宋_GB2312" w:hAnsi="仿宋_GB2312" w:eastAsia="仿宋_GB2312"/>
          <w:sz w:val="30"/>
          <w:szCs w:val="30"/>
        </w:rPr>
        <w:t>纠纷越积越深，产生不良后果。</w:t>
      </w:r>
      <w:r>
        <w:rPr>
          <w:rFonts w:hint="eastAsia" w:ascii="楷体_GB2312" w:hAnsi="仿宋_GB2312" w:eastAsia="楷体_GB2312"/>
          <w:bCs/>
          <w:sz w:val="30"/>
          <w:szCs w:val="30"/>
        </w:rPr>
        <w:t>四是围绕和谐，着眼长远确保效果。</w:t>
      </w:r>
      <w:r>
        <w:rPr>
          <w:rFonts w:hint="eastAsia" w:ascii="仿宋_GB2312" w:hAnsi="仿宋_GB2312" w:eastAsia="仿宋_GB2312"/>
          <w:sz w:val="30"/>
          <w:szCs w:val="30"/>
        </w:rPr>
        <w:t>在妥善调处各类</w:t>
      </w:r>
      <w:r>
        <w:rPr>
          <w:rFonts w:hint="eastAsia" w:ascii="仿宋_GB2312" w:hAnsi="仿宋_GB2312" w:eastAsia="仿宋_GB2312"/>
          <w:sz w:val="30"/>
          <w:szCs w:val="30"/>
          <w:shd w:val="clear" w:color="auto" w:fill="FFFFFF"/>
        </w:rPr>
        <w:t>矛盾</w:t>
      </w:r>
      <w:r>
        <w:rPr>
          <w:rFonts w:hint="eastAsia" w:ascii="仿宋_GB2312" w:hAnsi="仿宋_GB2312" w:eastAsia="仿宋_GB2312"/>
          <w:sz w:val="30"/>
          <w:szCs w:val="30"/>
        </w:rPr>
        <w:t>纠纷的同时，建立了对</w:t>
      </w:r>
      <w:r>
        <w:rPr>
          <w:rFonts w:hint="eastAsia" w:ascii="仿宋_GB2312" w:hAnsi="仿宋_GB2312" w:eastAsia="仿宋_GB2312"/>
          <w:sz w:val="30"/>
          <w:szCs w:val="30"/>
          <w:shd w:val="clear" w:color="auto" w:fill="FFFFFF"/>
        </w:rPr>
        <w:t>矛盾</w:t>
      </w:r>
      <w:r>
        <w:rPr>
          <w:rFonts w:hint="eastAsia" w:ascii="仿宋_GB2312" w:hAnsi="仿宋_GB2312" w:eastAsia="仿宋_GB2312"/>
          <w:sz w:val="30"/>
          <w:szCs w:val="30"/>
        </w:rPr>
        <w:t>纠纷当事人的定期回访机制，及时了解调解效果，并针对部分</w:t>
      </w:r>
      <w:r>
        <w:rPr>
          <w:rFonts w:hint="eastAsia" w:ascii="仿宋_GB2312" w:hAnsi="仿宋_GB2312" w:eastAsia="仿宋_GB2312"/>
          <w:sz w:val="30"/>
          <w:szCs w:val="30"/>
          <w:shd w:val="clear" w:color="auto" w:fill="FFFFFF"/>
        </w:rPr>
        <w:t>矛盾</w:t>
      </w:r>
      <w:r>
        <w:rPr>
          <w:rFonts w:hint="eastAsia" w:ascii="仿宋_GB2312" w:hAnsi="仿宋_GB2312" w:eastAsia="仿宋_GB2312"/>
          <w:sz w:val="30"/>
          <w:szCs w:val="30"/>
        </w:rPr>
        <w:t>纠纷“解而不和”的现象，由民警及时出面，动之以</w:t>
      </w:r>
      <w:r>
        <w:rPr>
          <w:rFonts w:hint="eastAsia" w:ascii="仿宋_GB2312" w:hAnsi="仿宋_GB2312" w:eastAsia="仿宋_GB2312"/>
          <w:sz w:val="30"/>
          <w:szCs w:val="30"/>
          <w:shd w:val="clear" w:color="auto" w:fill="FFFFFF"/>
        </w:rPr>
        <w:t>情</w:t>
      </w:r>
      <w:r>
        <w:rPr>
          <w:rFonts w:hint="eastAsia" w:ascii="仿宋_GB2312" w:hAnsi="仿宋_GB2312" w:eastAsia="仿宋_GB2312"/>
          <w:sz w:val="30"/>
          <w:szCs w:val="30"/>
        </w:rPr>
        <w:t>、晓之以理，开展说服教育工作，牵头开展互帮互助活动，推动当事双方加强交流，增进沟通了解，最大限度地融洽彼此感情，促进辖区和谐。今年以来，排查预警各类重大矛盾纠纷43起，在区有关部门配合下化解矛盾纠纷21起，化解信访积案3起。</w:t>
      </w:r>
    </w:p>
    <w:p>
      <w:pPr>
        <w:widowControl/>
        <w:spacing w:line="600" w:lineRule="exact"/>
        <w:ind w:firstLine="600" w:firstLineChars="200"/>
        <w:rPr>
          <w:rFonts w:hint="eastAsia" w:ascii="仿宋" w:hAnsi="仿宋" w:eastAsia="仿宋"/>
          <w:sz w:val="30"/>
          <w:szCs w:val="30"/>
        </w:rPr>
      </w:pPr>
      <w:r>
        <w:rPr>
          <w:rFonts w:hint="eastAsia" w:ascii="仿宋_GB2312" w:hAnsi="仿宋_GB2312" w:eastAsia="仿宋_GB2312"/>
          <w:sz w:val="30"/>
          <w:szCs w:val="30"/>
        </w:rPr>
        <w:t>复议、诉讼案件按法定期限严格履行法定程序，向应诉部门提交答复书，履行决定书、意见书、建议书，无被撤销，确认违法、变更、责令履行职责。负责人出庭应诉率达到100%。</w:t>
      </w:r>
      <w:r>
        <w:rPr>
          <w:rFonts w:hint="eastAsia" w:ascii="仿宋" w:hAnsi="仿宋" w:eastAsia="仿宋"/>
          <w:sz w:val="30"/>
          <w:szCs w:val="30"/>
        </w:rPr>
        <w:t xml:space="preserve"> </w:t>
      </w:r>
    </w:p>
    <w:p>
      <w:pPr>
        <w:pStyle w:val="12"/>
        <w:spacing w:before="0" w:beforeAutospacing="0" w:after="0" w:afterAutospacing="0" w:line="600" w:lineRule="exact"/>
        <w:rPr>
          <w:rFonts w:hint="eastAsia" w:ascii="楷体_GB2312" w:hAnsi="楷体_GB2312" w:eastAsia="楷体_GB2312"/>
          <w:sz w:val="30"/>
          <w:szCs w:val="30"/>
        </w:rPr>
      </w:pPr>
      <w:r>
        <w:rPr>
          <w:rFonts w:hint="eastAsia" w:ascii="仿宋" w:hAnsi="仿宋" w:eastAsia="仿宋"/>
          <w:sz w:val="30"/>
          <w:szCs w:val="30"/>
        </w:rPr>
        <w:t>　</w:t>
      </w:r>
      <w:r>
        <w:rPr>
          <w:rStyle w:val="8"/>
          <w:rFonts w:hint="eastAsia" w:ascii="仿宋" w:hAnsi="仿宋" w:eastAsia="仿宋"/>
          <w:sz w:val="30"/>
          <w:szCs w:val="30"/>
        </w:rPr>
        <w:t>　</w:t>
      </w:r>
      <w:r>
        <w:rPr>
          <w:rStyle w:val="8"/>
          <w:rFonts w:hint="eastAsia" w:ascii="楷体_GB2312" w:hAnsi="楷体_GB2312" w:eastAsia="楷体_GB2312"/>
          <w:b w:val="0"/>
          <w:bCs w:val="0"/>
          <w:sz w:val="30"/>
          <w:szCs w:val="30"/>
        </w:rPr>
        <w:t>六、依法行政能力建设情况</w:t>
      </w:r>
    </w:p>
    <w:p>
      <w:pPr>
        <w:widowControl/>
        <w:spacing w:line="600" w:lineRule="exact"/>
        <w:jc w:val="left"/>
        <w:rPr>
          <w:rFonts w:hint="eastAsia" w:ascii="仿宋_GB2312" w:hAnsi="仿宋_GB2312" w:eastAsia="仿宋_GB2312"/>
          <w:sz w:val="30"/>
          <w:szCs w:val="30"/>
        </w:rPr>
      </w:pPr>
      <w:r>
        <w:rPr>
          <w:rFonts w:hint="eastAsia" w:ascii="仿宋" w:hAnsi="仿宋" w:eastAsia="仿宋"/>
          <w:sz w:val="30"/>
          <w:szCs w:val="30"/>
        </w:rPr>
        <w:t>　　</w:t>
      </w:r>
      <w:r>
        <w:rPr>
          <w:rFonts w:hint="eastAsia" w:ascii="仿宋_GB2312" w:hAnsi="仿宋_GB2312" w:eastAsia="仿宋_GB2312"/>
          <w:sz w:val="30"/>
          <w:szCs w:val="30"/>
        </w:rPr>
        <w:t>按照“谁执法谁普法、谁管理谁普法、谁服务谁普法”责任制要求，切实抓好法制宣传教育，切实加强全局民警的普法学习，充分发挥各部门在法制宣传教育工作中的主力军作用，认真开展青少年特别是在校青少年学生的法制宣传教育工作，组织法制宣传组送法到各乡镇派出所，切实加强涉及公安机关的法律法规的宣传教育，我局结合“110”宣传</w:t>
      </w:r>
      <w:bookmarkStart w:id="0" w:name="_GoBack"/>
      <w:bookmarkEnd w:id="0"/>
      <w:r>
        <w:rPr>
          <w:rFonts w:hint="eastAsia" w:ascii="仿宋_GB2312" w:hAnsi="仿宋_GB2312" w:eastAsia="仿宋_GB2312"/>
          <w:sz w:val="30"/>
          <w:szCs w:val="30"/>
        </w:rPr>
        <w:t xml:space="preserve">扫黑除恶、“治暴枪支”禁毒宣传等活动，组织法制、指挥中心、刑侦、经侦、治安、禁毒、派出所等部门民警走上街头采取发放法律法规宣传资料、悬挂法制宣传标语、进行法律咨询等多种方式开展普法宣传，赢得了社会的好评。　 </w:t>
      </w:r>
    </w:p>
    <w:p>
      <w:pPr>
        <w:pStyle w:val="12"/>
        <w:spacing w:before="0" w:beforeAutospacing="0" w:after="0" w:afterAutospacing="0" w:line="600" w:lineRule="exact"/>
        <w:ind w:firstLine="602" w:firstLineChars="200"/>
        <w:rPr>
          <w:rFonts w:hint="eastAsia" w:ascii="楷体_GB2312" w:hAnsi="楷体_GB2312" w:eastAsia="楷体_GB2312"/>
          <w:sz w:val="30"/>
          <w:szCs w:val="30"/>
        </w:rPr>
      </w:pPr>
      <w:r>
        <w:rPr>
          <w:rStyle w:val="8"/>
          <w:rFonts w:hint="eastAsia" w:ascii="仿宋" w:hAnsi="仿宋" w:eastAsia="仿宋"/>
          <w:sz w:val="30"/>
          <w:szCs w:val="30"/>
        </w:rPr>
        <w:t>　七</w:t>
      </w:r>
      <w:r>
        <w:rPr>
          <w:rStyle w:val="8"/>
          <w:rFonts w:hint="eastAsia" w:ascii="楷体_GB2312" w:hAnsi="楷体_GB2312" w:eastAsia="楷体_GB2312"/>
          <w:b w:val="0"/>
          <w:bCs w:val="0"/>
          <w:sz w:val="30"/>
          <w:szCs w:val="30"/>
        </w:rPr>
        <w:t>、工作成效</w:t>
      </w:r>
    </w:p>
    <w:p>
      <w:pPr>
        <w:pStyle w:val="14"/>
        <w:widowControl/>
        <w:spacing w:line="600" w:lineRule="exact"/>
        <w:ind w:firstLine="600" w:firstLineChars="200"/>
        <w:jc w:val="left"/>
        <w:rPr>
          <w:rFonts w:hint="eastAsia" w:ascii="仿宋_GB2312" w:hAnsi="仿宋_GB2312" w:eastAsia="仿宋_GB2312"/>
          <w:sz w:val="30"/>
          <w:szCs w:val="30"/>
        </w:rPr>
      </w:pPr>
      <w:r>
        <w:rPr>
          <w:rFonts w:hint="eastAsia" w:ascii="仿宋_GB2312" w:hAnsi="仿宋_GB2312" w:eastAsia="仿宋_GB2312"/>
          <w:sz w:val="30"/>
          <w:szCs w:val="30"/>
        </w:rPr>
        <w:t>一年来，通过有效推进法治政府建设工作，我局全体民警的法制知识得到了显著提高，法制观念进一步增强，执法能力得到了显著提升，圆满完成了年初制定的各项工作任务。2019年全局查处治安案件610起，行政拘留479人。下一步，我局将进一步加快依法行政工作，加大督查力度，加强责任追究，全面完成法治政府建设的各项工作任务。</w:t>
      </w:r>
    </w:p>
    <w:p>
      <w:pPr>
        <w:widowControl/>
        <w:spacing w:line="600" w:lineRule="exact"/>
        <w:jc w:val="left"/>
        <w:rPr>
          <w:rFonts w:hint="eastAsia" w:ascii="仿宋" w:hAnsi="仿宋" w:eastAsia="仿宋"/>
          <w:color w:val="FF0000"/>
          <w:sz w:val="30"/>
          <w:szCs w:val="30"/>
        </w:rPr>
      </w:pPr>
    </w:p>
    <w:p>
      <w:pPr>
        <w:widowControl/>
        <w:spacing w:line="600" w:lineRule="exact"/>
        <w:jc w:val="left"/>
        <w:rPr>
          <w:rFonts w:hint="eastAsia" w:ascii="仿宋" w:hAnsi="仿宋" w:eastAsia="仿宋"/>
          <w:color w:val="FF0000"/>
          <w:sz w:val="30"/>
          <w:szCs w:val="30"/>
        </w:rPr>
      </w:pPr>
    </w:p>
    <w:p>
      <w:pPr>
        <w:widowControl/>
        <w:spacing w:line="600" w:lineRule="exact"/>
        <w:jc w:val="left"/>
        <w:rPr>
          <w:rFonts w:hint="eastAsia" w:ascii="仿宋_GB2312" w:hAnsi="仿宋_GB2312" w:eastAsia="仿宋_GB2312"/>
          <w:sz w:val="30"/>
          <w:szCs w:val="30"/>
        </w:rPr>
      </w:pPr>
      <w:r>
        <w:rPr>
          <w:rFonts w:hint="eastAsia" w:ascii="仿宋" w:hAnsi="仿宋" w:eastAsia="仿宋"/>
          <w:color w:val="FF0000"/>
          <w:sz w:val="30"/>
          <w:szCs w:val="30"/>
        </w:rPr>
        <w:t xml:space="preserve">                                    </w:t>
      </w:r>
      <w:r>
        <w:rPr>
          <w:rFonts w:hint="eastAsia" w:ascii="仿宋_GB2312" w:hAnsi="仿宋_GB2312" w:eastAsia="仿宋_GB2312"/>
          <w:sz w:val="30"/>
          <w:szCs w:val="30"/>
        </w:rPr>
        <w:t>2020年3月1日</w:t>
      </w:r>
    </w:p>
    <w:p>
      <w:pPr>
        <w:rPr>
          <w:rFonts w:ascii="黑体" w:hAnsi="黑体" w:eastAsia="黑体" w:cs="宋体"/>
          <w:kern w:val="0"/>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docVars>
    <w:docVar w:name="commondata" w:val="eyJoZGlkIjoiZWRjZTNmZDdkZDkwNTJmZjM3MzA4N2FlMzI5NmQ0M2QifQ=="/>
  </w:docVars>
  <w:rsids>
    <w:rsidRoot w:val="00172A27"/>
    <w:rsid w:val="00076E4C"/>
    <w:rsid w:val="00086DAD"/>
    <w:rsid w:val="001123BB"/>
    <w:rsid w:val="00171D22"/>
    <w:rsid w:val="001A3F3C"/>
    <w:rsid w:val="001F3A01"/>
    <w:rsid w:val="002623AA"/>
    <w:rsid w:val="002A6DE4"/>
    <w:rsid w:val="003104DD"/>
    <w:rsid w:val="00360773"/>
    <w:rsid w:val="003801EB"/>
    <w:rsid w:val="004273D1"/>
    <w:rsid w:val="004631B2"/>
    <w:rsid w:val="00464DA2"/>
    <w:rsid w:val="00494EE1"/>
    <w:rsid w:val="004B24F0"/>
    <w:rsid w:val="004F5933"/>
    <w:rsid w:val="005049DA"/>
    <w:rsid w:val="006449C5"/>
    <w:rsid w:val="00715740"/>
    <w:rsid w:val="00730A46"/>
    <w:rsid w:val="0074495E"/>
    <w:rsid w:val="007661D7"/>
    <w:rsid w:val="00770455"/>
    <w:rsid w:val="007C3012"/>
    <w:rsid w:val="007E0049"/>
    <w:rsid w:val="007E0A2C"/>
    <w:rsid w:val="00801659"/>
    <w:rsid w:val="00852998"/>
    <w:rsid w:val="00893ACA"/>
    <w:rsid w:val="008B5ABB"/>
    <w:rsid w:val="008F34A2"/>
    <w:rsid w:val="0091634E"/>
    <w:rsid w:val="00AB602C"/>
    <w:rsid w:val="00B429E5"/>
    <w:rsid w:val="00B93FC9"/>
    <w:rsid w:val="00BD1893"/>
    <w:rsid w:val="00BD37B3"/>
    <w:rsid w:val="00C339BA"/>
    <w:rsid w:val="00C60A82"/>
    <w:rsid w:val="00C96357"/>
    <w:rsid w:val="00CA6031"/>
    <w:rsid w:val="00D03FB3"/>
    <w:rsid w:val="00D267B0"/>
    <w:rsid w:val="00D35466"/>
    <w:rsid w:val="00DD272B"/>
    <w:rsid w:val="00DF4F37"/>
    <w:rsid w:val="00E35BD8"/>
    <w:rsid w:val="00EA0158"/>
    <w:rsid w:val="00EB4AA7"/>
    <w:rsid w:val="00F4004D"/>
    <w:rsid w:val="00F85526"/>
    <w:rsid w:val="00FC13A4"/>
    <w:rsid w:val="00FD28D2"/>
    <w:rsid w:val="00FD7DA4"/>
    <w:rsid w:val="5D29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link w:val="7"/>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640" w:firstLineChars="200"/>
    </w:pPr>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7">
    <w:name w:val=" Char Char Char Char"/>
    <w:basedOn w:val="1"/>
    <w:link w:val="6"/>
    <w:uiPriority w:val="0"/>
    <w:rPr>
      <w:rFonts w:ascii="Times New Roman" w:hAnsi="Times New Roman"/>
      <w:szCs w:val="20"/>
    </w:rPr>
  </w:style>
  <w:style w:type="character" w:styleId="8">
    <w:name w:val="Strong"/>
    <w:basedOn w:val="6"/>
    <w:qFormat/>
    <w:uiPriority w:val="0"/>
    <w:rPr>
      <w:b/>
      <w:bCs/>
    </w:rPr>
  </w:style>
  <w:style w:type="character" w:styleId="9">
    <w:name w:val="page number"/>
    <w:basedOn w:val="6"/>
    <w:uiPriority w:val="0"/>
  </w:style>
  <w:style w:type="character" w:styleId="10">
    <w:name w:val="Hyperlink"/>
    <w:basedOn w:val="6"/>
    <w:uiPriority w:val="0"/>
    <w:rPr>
      <w:color w:val="0000FF"/>
      <w:u w:val="single"/>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3">
    <w:name w:val="正文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Char Char Char Char Char Char Char Char Char Char Char Char Char Char Char Char Char Char Char Char Char Char Char Char Char Char Char Char Char Char Char Char Char"/>
    <w:basedOn w:val="11"/>
    <w:uiPriority w:val="0"/>
    <w:pPr>
      <w:widowControl/>
      <w:spacing w:after="160" w:line="240" w:lineRule="exact"/>
      <w:jc w:val="left"/>
    </w:pPr>
  </w:style>
  <w:style w:type="paragraph" w:customStyle="1" w:styleId="16">
    <w:name w:val="样式"/>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2791</Words>
  <Characters>2827</Characters>
  <Lines>20</Lines>
  <Paragraphs>5</Paragraphs>
  <TotalTime>0</TotalTime>
  <ScaleCrop>false</ScaleCrop>
  <LinksUpToDate>false</LinksUpToDate>
  <CharactersWithSpaces>2883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2020-03-17T06:05:00Z</dcterms:created>
  <dc:creator>a</dc:creator>
  <cp:lastModifiedBy>周佳</cp:lastModifiedBy>
  <cp:lastPrinted>2411-12-30T00:00:00Z</cp:lastPrinted>
  <dcterms:modified xsi:type="dcterms:W3CDTF">2023-04-10T06:10:02Z</dcterms:modified>
  <dc:title>    2016年，在区委、区政府的正确领导下，我局坚持以科学发展观为统领，认真贯彻落实《淄博市法治政府建设实施纲要》，以建设法治政府为总体目标，科学规划、统筹安排、整体推进，为全区经济社会发展提供了坚实的法制保障。现将有关情况汇报如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609AEB5FCA8F43EDA9EE404F07398AC0</vt:lpwstr>
  </property>
</Properties>
</file>