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44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u w:val="none"/>
          <w:lang w:val="en-US" w:eastAsia="zh-CN"/>
        </w:rPr>
        <w:t>关于印发《周村区区级食盐储备管理办法》的通  知</w:t>
      </w:r>
    </w:p>
    <w:p>
      <w:pPr>
        <w:rPr>
          <w:rFonts w:hint="default" w:ascii="Times New Roman" w:hAnsi="Times New Roman" w:eastAsia="方正小标宋简体" w:cs="Times New Roman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区有关部门、各有关单位：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现将《周村区区级食盐储备管理办法》印发你们，请认真遵照执行。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周村区工业和信息化局            周村区财政局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                           2020年9月14日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44"/>
          <w:szCs w:val="22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31"/>
          <w:lang w:eastAsia="zh-CN"/>
        </w:rPr>
        <w:t>周村区区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auto"/>
          <w:spacing w:val="0"/>
          <w:sz w:val="44"/>
          <w:szCs w:val="31"/>
        </w:rPr>
        <w:t>级食盐储备管理办法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D3D3D"/>
          <w:spacing w:val="0"/>
          <w:sz w:val="2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3D3D3D"/>
          <w:spacing w:val="0"/>
          <w:sz w:val="31"/>
          <w:szCs w:val="31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1"/>
        </w:rPr>
        <w:t>第一章 总 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1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1"/>
        </w:rPr>
        <w:t>则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3D3D3D"/>
          <w:spacing w:val="0"/>
          <w:sz w:val="32"/>
          <w:szCs w:val="31"/>
        </w:rPr>
        <w:t> 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第一条  为加强全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食盐储备管理，增强应对各类突发事件能力，维护食盐市场稳定，保障食盐供应安全，根据《食盐专营办法》(国务院令第696号）、《国务院关于印发盐业体制改革方案的通知》（国办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〔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2016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〕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val="en-US" w:eastAsia="zh-CN"/>
        </w:rPr>
        <w:t>25号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）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、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《淄博市市级食盐储备管理办法》（淄工信消发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〔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val="en-US" w:eastAsia="zh-CN"/>
        </w:rPr>
        <w:t>2020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〕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val="en-US" w:eastAsia="zh-CN"/>
        </w:rPr>
        <w:t>5号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）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val="en-US" w:eastAsia="zh-CN"/>
        </w:rPr>
        <w:t>、《周村区盐业体制改革实施方案》（周政发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val="en-US" w:eastAsia="zh-CN"/>
        </w:rPr>
        <w:t>〔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val="en-US" w:eastAsia="zh-CN"/>
        </w:rPr>
        <w:t>2017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val="en-US" w:eastAsia="zh-CN"/>
        </w:rPr>
        <w:t>〕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val="en-US" w:eastAsia="zh-CN"/>
        </w:rPr>
        <w:t>71号）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等有关规定，结合我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实际，制定本办法。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第二条  本办法所称食盐储备是指用于应对我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各类突发事件应急需要和调节食盐市场异常波动的成品食盐储备，由政府储备和企业储备组成。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政府食盐储备遵循企业承储、财政补贴、市场运作、费用包干的原则。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第三条  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工业和信息化局负责牵头协调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级食盐储备管理工作。包括编制年度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级政府食盐储备计划；确定承储企业，落实储备计划；根据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级食盐储备情况提出项目预算安排建议和资金使用方案，并对项目资金使用绩效进行评价；牵头协调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级政府食盐储备管理中的有关问题；对政府食盐储备和企业储备库存情况实施监督检查。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第四条  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财政局负责审核政府食盐储备项目预算安排建议，按规定程序报批后列入年度预算，依据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工业和信息化局申报的资金使用计划，按照预算管理要求拨付资金。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val="en-US" w:eastAsia="zh-CN"/>
        </w:rPr>
        <w:t>全区食盐储备由周村区工业和信息化局负责，根据实际情况组织实施，其品种和规模要合理安排，确保本地食盐市场秩序。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1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1"/>
        </w:rPr>
        <w:t>第二章  食盐储备规模和资金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3D3D3D"/>
          <w:spacing w:val="0"/>
          <w:sz w:val="32"/>
          <w:szCs w:val="31"/>
        </w:rPr>
        <w:t> 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第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六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条  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级政府食盐储备规模为全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上一年度月均食盐消费量（暂定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val="en-US" w:eastAsia="zh-CN"/>
        </w:rPr>
        <w:t>470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吨，其中小包装食盐为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val="en-US" w:eastAsia="zh-CN"/>
        </w:rPr>
        <w:t>110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吨，大包装食盐为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val="en-US" w:eastAsia="zh-CN"/>
        </w:rPr>
        <w:t>360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吨）。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第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七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条  食盐定点批发企业应建立成本自负的企业储备，最低库存不得低于本企业上年度月均销售量，储备品种由企业根据产销情况自行确定。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第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八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条  食盐储备资金由承储单位向金融机构贷款或其他合法渠道筹措解决。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级财政对承担食盐储备任务的企业（以下简称“承储企业”）为完成政府食盐储备任务而发生的贷款利息、资金占用费、管理费等支出给予补助，补助资金由承储企业包干使用。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第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九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条  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级政府食盐储备补贴，由承储企业提出书面申请，经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工业和信息化局审核后由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财政局拨付。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3D3D3D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3D3D3D"/>
          <w:spacing w:val="0"/>
          <w:sz w:val="32"/>
          <w:szCs w:val="31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22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22"/>
          <w:lang w:eastAsia="zh-CN"/>
        </w:rPr>
        <w:t>第三章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22"/>
          <w:lang w:val="en-US" w:eastAsia="zh-CN"/>
        </w:rPr>
        <w:t xml:space="preserve"> 政府食盐承储企业选定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第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十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条  承储企业应当具备以下条件：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（一）具有食盐定点生产企业证书或食盐定点批发企业证书；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（二）在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内具有设施齐全且安全的食盐仓储条件；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（三）交通便利，调动方便，经营量大，便于轮换；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（四）管理规范，信用良好，近三年无违法违规经营纪录，未发生过食盐安全和质量事故。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第十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一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条  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工业和信息化局应当与承储企业签订承储协议，明确双方的权利、义务和违约责任等事项。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3D3D3D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3D3D3D"/>
          <w:spacing w:val="0"/>
          <w:sz w:val="32"/>
          <w:szCs w:val="31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default" w:ascii="Times New Roman" w:hAnsi="Times New Roman" w:eastAsia="仿宋" w:cs="Times New Roman"/>
          <w:i w:val="0"/>
          <w:caps w:val="0"/>
          <w:color w:val="3D3D3D"/>
          <w:spacing w:val="0"/>
          <w:sz w:val="32"/>
          <w:szCs w:val="22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1"/>
        </w:rPr>
        <w:t>第四章  储备食盐的储存</w:t>
      </w:r>
      <w:r>
        <w:rPr>
          <w:rFonts w:hint="default" w:ascii="Times New Roman" w:hAnsi="Times New Roman" w:eastAsia="仿宋" w:cs="Times New Roman"/>
          <w:i w:val="0"/>
          <w:caps w:val="0"/>
          <w:color w:val="3D3D3D"/>
          <w:spacing w:val="0"/>
          <w:sz w:val="32"/>
          <w:szCs w:val="31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第十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二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条 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级政府食盐储备地的布局，按照覆盖全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、相对集中、有利调运的原则，由承储企业选定，报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工业和信息化局审核同意后实施。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第十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三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条  承储企业严格执行各项管理制度，建立健全防火、防盗、防洪等安全管理制度，并配备必要的安全防护设施，对食盐储备的数量、质量和储存安全负责。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第十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四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条  入库的储备食盐应当符合《食品安全国家标准食用盐》（GB2721）和《食用盐》（GB/T5461)等相关标准，其中加碘盐须符合山东省食用盐碘浓度规定。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第十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五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条  按照食盐质量和保管要求，至少每半年对储备的食盐进行一次轮换，确保储备食盐在保质期内。轮换期间储备数量不得少于当年的储备计划。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第十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六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条  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级政府食盐储备应当实行专仓储存、专人管理、专账记载，按品种、数量、质量、进出库时间单独建立账卡档案，建立健全并严格执行入库、出库制度。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3D3D3D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3D3D3D"/>
          <w:spacing w:val="0"/>
          <w:sz w:val="32"/>
          <w:szCs w:val="31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default" w:ascii="Times New Roman" w:hAnsi="Times New Roman" w:eastAsia="仿宋" w:cs="Times New Roman"/>
          <w:i w:val="0"/>
          <w:caps w:val="0"/>
          <w:color w:val="3D3D3D"/>
          <w:spacing w:val="0"/>
          <w:sz w:val="32"/>
          <w:szCs w:val="22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1"/>
        </w:rPr>
        <w:t>第五章  储备食盐的调用</w:t>
      </w:r>
      <w:r>
        <w:rPr>
          <w:rFonts w:hint="default" w:ascii="Times New Roman" w:hAnsi="Times New Roman" w:eastAsia="仿宋" w:cs="Times New Roman"/>
          <w:i w:val="0"/>
          <w:caps w:val="0"/>
          <w:color w:val="3D3D3D"/>
          <w:spacing w:val="0"/>
          <w:sz w:val="32"/>
          <w:szCs w:val="31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第十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七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条  出现下列情况，可以调用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级政府食盐储备：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（一）发生重大自然灾害或者突发公共事件；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（二）全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食盐明显供不应求或者价格出现异常波动；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（三）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政府认为需要调用储备食盐的其他情形。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级政府食盐储备调用由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工业和信息化局提出方案，报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政府批准后，由承储企业具体执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行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。需要调用企业储备食盐的，相关企业应按政府指令组织储备食盐的投放。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第十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八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条  有关部门对食盐储备调用方案的实施，应当给予支持、配合。任何单位和个人不得拒绝执行或擅自改变调用命令，不得以任何理由拖延。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第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十九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条  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级政府储备食盐调用后，承储企业应当于一个月内补齐储备，并将调用和补库情况报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工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业和信息化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局备案；企业食盐储备调用后，应及时补库，确保达到规定的库存量。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3D3D3D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3D3D3D"/>
          <w:spacing w:val="0"/>
          <w:sz w:val="32"/>
          <w:szCs w:val="31"/>
        </w:rPr>
        <w:t> 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default" w:ascii="Times New Roman" w:hAnsi="Times New Roman" w:eastAsia="仿宋" w:cs="Times New Roman"/>
          <w:i w:val="0"/>
          <w:caps w:val="0"/>
          <w:color w:val="3D3D3D"/>
          <w:spacing w:val="0"/>
          <w:sz w:val="32"/>
          <w:szCs w:val="22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1"/>
        </w:rPr>
        <w:t>第六章  监督检查</w:t>
      </w:r>
      <w:r>
        <w:rPr>
          <w:rFonts w:hint="default" w:ascii="Times New Roman" w:hAnsi="Times New Roman" w:eastAsia="仿宋" w:cs="Times New Roman"/>
          <w:i w:val="0"/>
          <w:caps w:val="0"/>
          <w:color w:val="3D3D3D"/>
          <w:spacing w:val="0"/>
          <w:sz w:val="32"/>
          <w:szCs w:val="31"/>
        </w:rPr>
        <w:t> 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第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二十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条  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工业和信息化局负责对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级政府食盐储备和企业食盐储备的数量、储存安全及档案等实施监督管理；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财政局负责对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级政府食盐储备补贴资金的监督管理。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第二十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一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条  承储企业对有关部门的监督检查，应予以积极配合，不得拒绝、阻挠。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第二十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二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条  国家机关工作人员违反本办法规定的，由所在单位按有关规定予以行政处分；构成犯罪的，依法追究刑事责任。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第二十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三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条  承储企业违反本办法规定和承储协议的，扣减财政补贴，取消承储资格，并依据国家发展改革委牵头承办的《关于对盐行业生产经营严重失信者开展联合惩戒的合作备忘录》（发改经体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〔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2017</w:t>
      </w:r>
      <w:r>
        <w:rPr>
          <w:rFonts w:hint="eastAsia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〕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1164号）要求对企业相关责任人进行惩戒；涉嫌犯罪的，依法移交司法机关追究刑事责任。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default" w:ascii="Times New Roman" w:hAnsi="Times New Roman" w:eastAsia="仿宋" w:cs="Times New Roman"/>
          <w:i w:val="0"/>
          <w:caps w:val="0"/>
          <w:color w:val="3D3D3D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3D3D3D"/>
          <w:spacing w:val="0"/>
          <w:sz w:val="32"/>
          <w:szCs w:val="31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default" w:ascii="Times New Roman" w:hAnsi="Times New Roman" w:eastAsia="仿宋" w:cs="Times New Roman"/>
          <w:i w:val="0"/>
          <w:caps w:val="0"/>
          <w:color w:val="3D3D3D"/>
          <w:spacing w:val="0"/>
          <w:sz w:val="32"/>
          <w:szCs w:val="22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1"/>
        </w:rPr>
        <w:t>第七章  附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1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i w:val="0"/>
          <w:caps w:val="0"/>
          <w:color w:val="auto"/>
          <w:spacing w:val="0"/>
          <w:sz w:val="32"/>
          <w:szCs w:val="31"/>
        </w:rPr>
        <w:t>则</w:t>
      </w:r>
      <w:r>
        <w:rPr>
          <w:rFonts w:hint="default" w:ascii="Times New Roman" w:hAnsi="Times New Roman" w:eastAsia="仿宋" w:cs="Times New Roman"/>
          <w:i w:val="0"/>
          <w:caps w:val="0"/>
          <w:color w:val="3D3D3D"/>
          <w:spacing w:val="0"/>
          <w:sz w:val="32"/>
          <w:szCs w:val="31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第二十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四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条  本办法由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区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工业和信息化局负责解释。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2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第二十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  <w:lang w:eastAsia="zh-CN"/>
        </w:rPr>
        <w:t>五</w:t>
      </w:r>
      <w:r>
        <w:rPr>
          <w:rFonts w:hint="default" w:ascii="Times New Roman" w:hAnsi="Times New Roman" w:eastAsia="仿宋" w:cs="Times New Roman"/>
          <w:i w:val="0"/>
          <w:caps w:val="0"/>
          <w:color w:val="auto"/>
          <w:spacing w:val="0"/>
          <w:sz w:val="32"/>
          <w:szCs w:val="31"/>
        </w:rPr>
        <w:t>条  本办法有效期自2020年10月1日起，至2025年9月30日止。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sectPr>
      <w:footerReference r:id="rId3" w:type="default"/>
      <w:pgSz w:w="11906" w:h="16838"/>
      <w:pgMar w:top="2041" w:right="1531" w:bottom="1701" w:left="1531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51011E"/>
    <w:multiLevelType w:val="singleLevel"/>
    <w:tmpl w:val="AA51011E"/>
    <w:lvl w:ilvl="0" w:tentative="0">
      <w:start w:val="5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OTc2ZDk4YTkwNjcwMzJiNzY3ZTMzYzIxZWE4MTcifQ=="/>
  </w:docVars>
  <w:rsids>
    <w:rsidRoot w:val="06234D66"/>
    <w:rsid w:val="06234D66"/>
    <w:rsid w:val="28BD06C8"/>
    <w:rsid w:val="5A5D2970"/>
    <w:rsid w:val="712A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2157</Words>
  <Characters>2227</Characters>
  <Lines>0</Lines>
  <Paragraphs>0</Paragraphs>
  <TotalTime>28</TotalTime>
  <ScaleCrop>false</ScaleCrop>
  <LinksUpToDate>false</LinksUpToDate>
  <CharactersWithSpaces>2349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2020-09-10T03:20:00Z</dcterms:created>
  <dc:creator>Administrator</dc:creator>
  <cp:lastModifiedBy>Administrator</cp:lastModifiedBy>
  <cp:lastPrinted>2020-09-14T03:16:00Z</cp:lastPrinted>
  <dcterms:modified xsi:type="dcterms:W3CDTF">2022-10-12T01:24:34Z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5751D43AE2A4403D84E2FC2D55BB9213</vt:lpwstr>
  </property>
</Properties>
</file>