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hint="default" w:ascii="Times New Roman" w:hAnsi="Times New Roman" w:eastAsia="黑体" w:cs="Times New Roman"/>
          <w:sz w:val="32"/>
          <w:szCs w:val="32"/>
        </w:rPr>
      </w:pPr>
    </w:p>
    <w:p>
      <w:pPr>
        <w:spacing w:line="700" w:lineRule="exact"/>
        <w:rPr>
          <w:rFonts w:hint="default" w:ascii="Times New Roman" w:hAnsi="Times New Roman" w:eastAsia="楷体_GB2312" w:cs="Times New Roman"/>
          <w:spacing w:val="6"/>
          <w:sz w:val="52"/>
          <w:szCs w:val="52"/>
        </w:rPr>
      </w:pPr>
      <w:r>
        <w:rPr>
          <w:rFonts w:hint="default" w:ascii="Times New Roman" w:hAnsi="Times New Roman" w:eastAsia="楷体_GB2312" w:cs="Times New Roman"/>
          <w:spacing w:val="6"/>
          <w:sz w:val="52"/>
          <w:szCs w:val="52"/>
        </w:rPr>
        <w:t xml:space="preserve"> </w:t>
      </w:r>
    </w:p>
    <w:p>
      <w:pPr>
        <w:keepNext w:val="0"/>
        <w:keepLines w:val="0"/>
        <w:pageBreakBefore w:val="0"/>
        <w:widowControl w:val="0"/>
        <w:kinsoku/>
        <w:wordWrap/>
        <w:overflowPunct/>
        <w:topLinePunct w:val="0"/>
        <w:autoSpaceDE/>
        <w:autoSpaceDN/>
        <w:bidi w:val="0"/>
        <w:adjustRightInd/>
        <w:snapToGrid/>
        <w:spacing w:line="1000" w:lineRule="exact"/>
        <w:ind w:firstLine="480" w:firstLineChars="150"/>
        <w:textAlignment w:val="auto"/>
        <w:rPr>
          <w:rFonts w:hint="default" w:ascii="Times New Roman" w:hAnsi="Times New Roman" w:eastAsia="黑体" w:cs="Times New Roman"/>
          <w:sz w:val="32"/>
          <w:szCs w:val="32"/>
        </w:rPr>
      </w:pPr>
    </w:p>
    <w:p>
      <w:pPr>
        <w:spacing w:line="540" w:lineRule="exact"/>
        <w:ind w:firstLine="480" w:firstLineChars="150"/>
        <w:rPr>
          <w:rFonts w:hint="default" w:ascii="Times New Roman" w:hAnsi="Times New Roman" w:eastAsia="黑体" w:cs="Times New Roman"/>
          <w:sz w:val="32"/>
          <w:szCs w:val="32"/>
        </w:rPr>
      </w:pPr>
    </w:p>
    <w:p>
      <w:pPr>
        <w:jc w:val="center"/>
        <w:rPr>
          <w:rFonts w:hint="default" w:ascii="Times New Roman" w:hAnsi="Times New Roman" w:cs="Times New Roman"/>
          <w:sz w:val="44"/>
          <w:szCs w:val="44"/>
        </w:rPr>
      </w:pPr>
      <w:r>
        <w:rPr>
          <w:rFonts w:hint="default" w:ascii="Times New Roman" w:hAnsi="Times New Roman" w:eastAsia="仿宋_GB2312" w:cs="Times New Roman"/>
          <w:sz w:val="32"/>
          <w:szCs w:val="32"/>
        </w:rPr>
        <w:t>周交政发〔2022〕1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jc w:val="center"/>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印发</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eastAsia="zh-CN"/>
        </w:rPr>
        <w:t>周村区</w:t>
      </w:r>
      <w:r>
        <w:rPr>
          <w:rFonts w:hint="default" w:ascii="Times New Roman" w:hAnsi="Times New Roman" w:eastAsia="方正小标宋简体" w:cs="Times New Roman"/>
          <w:sz w:val="44"/>
          <w:szCs w:val="44"/>
        </w:rPr>
        <w:t>交通运输局“双随机、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一公开”抽查工作指引汇编</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2022版</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局</w:t>
      </w:r>
      <w:r>
        <w:rPr>
          <w:rFonts w:hint="default" w:ascii="Times New Roman" w:hAnsi="Times New Roman" w:eastAsia="仿宋_GB2312" w:cs="Times New Roman"/>
          <w:sz w:val="32"/>
          <w:szCs w:val="32"/>
        </w:rPr>
        <w:t>机关各科室</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局属各单位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根据省、市</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lang w:val="en-US" w:eastAsia="zh-CN"/>
        </w:rPr>
        <w:t>“双随机、一公开”监管工作联席会议办公室关于“双随机、一公开”监管工作相关要求，《</w:t>
      </w:r>
      <w:r>
        <w:rPr>
          <w:rFonts w:hint="default" w:ascii="Times New Roman" w:hAnsi="Times New Roman" w:cs="Times New Roman"/>
          <w:sz w:val="32"/>
          <w:szCs w:val="32"/>
          <w:lang w:val="en-US" w:eastAsia="zh-CN"/>
        </w:rPr>
        <w:t>周村区</w:t>
      </w:r>
      <w:r>
        <w:rPr>
          <w:rFonts w:hint="default" w:ascii="Times New Roman" w:hAnsi="Times New Roman" w:eastAsia="仿宋_GB2312" w:cs="Times New Roman"/>
          <w:sz w:val="32"/>
          <w:szCs w:val="32"/>
          <w:lang w:val="en-US" w:eastAsia="zh-CN"/>
        </w:rPr>
        <w:t>交通运输局“双随机、一公开”抽查工作指引汇编（2022版）》已编制完成，现印发给你们，请认真贯彻执行。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周村区</w:t>
      </w:r>
      <w:r>
        <w:rPr>
          <w:rFonts w:hint="default" w:ascii="Times New Roman" w:hAnsi="Times New Roman" w:eastAsia="仿宋_GB2312" w:cs="Times New Roman"/>
          <w:sz w:val="32"/>
          <w:szCs w:val="32"/>
          <w:lang w:val="en-US" w:eastAsia="zh-CN"/>
        </w:rPr>
        <w:t>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2098" w:right="1417" w:bottom="1701" w:left="1417" w:header="851" w:footer="992" w:gutter="0"/>
          <w:cols w:space="0" w:num="1"/>
          <w:rtlGutter w:val="0"/>
          <w:docGrid w:type="lines" w:linePitch="449" w:charSpace="0"/>
        </w:sectPr>
      </w:pPr>
      <w:r>
        <w:rPr>
          <w:rFonts w:hint="default" w:ascii="Times New Roman" w:hAnsi="Times New Roman" w:eastAsia="仿宋_GB2312" w:cs="Times New Roman"/>
          <w:sz w:val="32"/>
          <w:szCs w:val="32"/>
          <w:lang w:val="en-US" w:eastAsia="zh-CN"/>
        </w:rPr>
        <w:t xml:space="preserve">                         2022年2月</w:t>
      </w:r>
      <w:r>
        <w:rPr>
          <w:rFonts w:hint="default" w:ascii="Times New Roman" w:hAnsi="Times New Roman" w:cs="Times New Roman"/>
          <w:sz w:val="32"/>
          <w:szCs w:val="32"/>
          <w:lang w:val="en-US" w:eastAsia="zh-CN"/>
        </w:rPr>
        <w:t>28日</w:t>
      </w:r>
    </w:p>
    <w:p>
      <w:pPr>
        <w:pStyle w:val="2"/>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jc w:val="center"/>
        <w:rPr>
          <w:rFonts w:hint="default" w:ascii="Times New Roman" w:hAnsi="Times New Roman" w:eastAsia="方正小标宋简体" w:cs="Times New Roman"/>
          <w:b w:val="0"/>
          <w:sz w:val="56"/>
          <w:szCs w:val="56"/>
        </w:rPr>
      </w:pPr>
      <w:r>
        <w:rPr>
          <w:rFonts w:hint="default" w:ascii="Times New Roman" w:hAnsi="Times New Roman" w:eastAsia="方正小标宋简体" w:cs="Times New Roman"/>
          <w:b w:val="0"/>
          <w:sz w:val="56"/>
          <w:szCs w:val="56"/>
          <w:lang w:eastAsia="zh-CN"/>
        </w:rPr>
        <w:t>周村区交通运输局</w:t>
      </w:r>
      <w:r>
        <w:rPr>
          <w:rFonts w:hint="default" w:ascii="Times New Roman" w:hAnsi="Times New Roman" w:eastAsia="方正小标宋简体" w:cs="Times New Roman"/>
          <w:b w:val="0"/>
          <w:sz w:val="56"/>
          <w:szCs w:val="56"/>
        </w:rPr>
        <w:t>“双随机、一公开”</w:t>
      </w:r>
    </w:p>
    <w:p>
      <w:pPr>
        <w:pStyle w:val="3"/>
        <w:jc w:val="center"/>
        <w:rPr>
          <w:rFonts w:hint="default" w:ascii="Times New Roman" w:hAnsi="Times New Roman" w:eastAsia="方正小标宋简体" w:cs="Times New Roman"/>
          <w:b w:val="0"/>
          <w:sz w:val="56"/>
          <w:szCs w:val="56"/>
          <w:lang w:eastAsia="zh-CN"/>
        </w:rPr>
      </w:pPr>
      <w:r>
        <w:rPr>
          <w:rFonts w:hint="default" w:ascii="Times New Roman" w:hAnsi="Times New Roman" w:eastAsia="方正小标宋简体" w:cs="Times New Roman"/>
          <w:b w:val="0"/>
          <w:sz w:val="56"/>
          <w:szCs w:val="56"/>
        </w:rPr>
        <w:t>抽查工作指引汇编</w:t>
      </w:r>
      <w:r>
        <w:rPr>
          <w:rFonts w:hint="default" w:ascii="Times New Roman" w:hAnsi="Times New Roman" w:eastAsia="方正小标宋简体" w:cs="Times New Roman"/>
          <w:b w:val="0"/>
          <w:sz w:val="56"/>
          <w:szCs w:val="56"/>
          <w:lang w:eastAsia="zh-CN"/>
        </w:rPr>
        <w:t>（</w:t>
      </w:r>
      <w:r>
        <w:rPr>
          <w:rFonts w:hint="default" w:ascii="Times New Roman" w:hAnsi="Times New Roman" w:eastAsia="方正小标宋简体" w:cs="Times New Roman"/>
          <w:b w:val="0"/>
          <w:sz w:val="56"/>
          <w:szCs w:val="56"/>
          <w:lang w:val="en-US" w:eastAsia="zh-CN"/>
        </w:rPr>
        <w:t>2022年版</w:t>
      </w:r>
      <w:r>
        <w:rPr>
          <w:rFonts w:hint="default" w:ascii="Times New Roman" w:hAnsi="Times New Roman" w:eastAsia="方正小标宋简体" w:cs="Times New Roman"/>
          <w:b w:val="0"/>
          <w:sz w:val="56"/>
          <w:szCs w:val="56"/>
          <w:lang w:eastAsia="zh-CN"/>
        </w:rPr>
        <w:t>）</w:t>
      </w:r>
    </w:p>
    <w:p>
      <w:pPr>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jc w:val="center"/>
        <w:rPr>
          <w:rFonts w:hint="default" w:ascii="Times New Roman" w:hAnsi="Times New Roman" w:eastAsia="楷体" w:cs="Times New Roman"/>
          <w:lang w:eastAsia="zh-CN"/>
        </w:rPr>
      </w:pPr>
      <w:r>
        <w:rPr>
          <w:rFonts w:hint="default" w:ascii="Times New Roman" w:hAnsi="Times New Roman" w:eastAsia="楷体" w:cs="Times New Roman"/>
          <w:lang w:eastAsia="zh-CN"/>
        </w:rPr>
        <w:t>周村区交通运输局</w:t>
      </w:r>
    </w:p>
    <w:p>
      <w:pPr>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202</w:t>
      </w:r>
      <w:r>
        <w:rPr>
          <w:rFonts w:hint="default" w:ascii="Times New Roman" w:hAnsi="Times New Roman" w:eastAsia="楷体" w:cs="Times New Roman"/>
          <w:sz w:val="36"/>
          <w:szCs w:val="36"/>
          <w:lang w:val="en-US" w:eastAsia="zh-CN"/>
        </w:rPr>
        <w:t>2</w:t>
      </w:r>
      <w:r>
        <w:rPr>
          <w:rFonts w:hint="default" w:ascii="Times New Roman" w:hAnsi="Times New Roman" w:eastAsia="楷体" w:cs="Times New Roman"/>
          <w:sz w:val="36"/>
          <w:szCs w:val="36"/>
        </w:rPr>
        <w:t>年2月</w:t>
      </w:r>
    </w:p>
    <w:p>
      <w:pPr>
        <w:rPr>
          <w:rFonts w:hint="default" w:ascii="Times New Roman" w:hAnsi="Times New Roman" w:cs="Times New Roman"/>
        </w:rPr>
      </w:pPr>
      <w:r>
        <w:rPr>
          <w:rFonts w:hint="default" w:ascii="Times New Roman" w:hAnsi="Times New Roman" w:eastAsia="楷体" w:cs="Times New Roman"/>
          <w:sz w:val="36"/>
          <w:szCs w:val="36"/>
        </w:rPr>
        <w:br w:type="page"/>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32"/>
          <w:szCs w:val="48"/>
        </w:rPr>
      </w:pPr>
      <w:r>
        <w:rPr>
          <w:rFonts w:hint="default" w:ascii="Times New Roman" w:hAnsi="Times New Roman" w:eastAsia="宋体" w:cs="Times New Roman"/>
          <w:b/>
          <w:bCs/>
          <w:sz w:val="32"/>
          <w:szCs w:val="48"/>
        </w:rPr>
        <w:t>目录</w:t>
      </w:r>
    </w:p>
    <w:p>
      <w:pPr>
        <w:pStyle w:val="2"/>
        <w:rPr>
          <w:rFonts w:hint="default" w:ascii="Times New Roman" w:hAnsi="Times New Roman" w:cs="Times New Roman"/>
        </w:rPr>
      </w:pP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第一章 对公路水运建设市场的监督检查工作指引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- 3 -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第二章  对车辆维修企业经营情况的监督检查工作指引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rPr>
        <w:t>-</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第三章  对网约车平台公司的监督检查工作指引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第四章 对城市公共汽电车客运（含线路经营）的监督检查工作指引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第五章 对巡游出租汽车客运经营的的监督检查工作指引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11</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第六章 对涉路工程建设项目的监督检查工作指引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eastAsia="zh-CN"/>
        </w:rPr>
        <w:t>1</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第七章 对非公路标志设置的监督检查工作指引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- 1</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第八章 对道路危险货物运输企业的监督检查工作指引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- 1</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rPr>
        <w:t>-</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w:t>
      </w:r>
      <w:r>
        <w:rPr>
          <w:rFonts w:hint="default" w:ascii="Times New Roman" w:hAnsi="Times New Roman" w:cs="Times New Roman"/>
          <w:sz w:val="28"/>
          <w:szCs w:val="28"/>
          <w:lang w:val="en-US" w:eastAsia="zh-CN"/>
        </w:rPr>
        <w:t>九</w:t>
      </w:r>
      <w:r>
        <w:rPr>
          <w:rFonts w:hint="default" w:ascii="Times New Roman" w:hAnsi="Times New Roman" w:cs="Times New Roman"/>
          <w:sz w:val="28"/>
          <w:szCs w:val="28"/>
          <w:lang w:val="en-US"/>
        </w:rPr>
        <w:t>章 对旅游包车客运企业的监督检查工作指引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21</w:t>
      </w:r>
      <w:r>
        <w:rPr>
          <w:rFonts w:hint="default" w:ascii="Times New Roman" w:hAnsi="Times New Roman" w:cs="Times New Roman"/>
          <w:sz w:val="28"/>
          <w:szCs w:val="28"/>
          <w:lang w:val="en-US"/>
        </w:rPr>
        <w:t>-</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第十章 对道路普通货物运输企业的监督检查工作指引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25</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rPr>
      </w:pPr>
      <w:r>
        <w:rPr>
          <w:rFonts w:hint="default" w:ascii="Times New Roman" w:hAnsi="Times New Roman" w:cs="Times New Roman"/>
          <w:sz w:val="28"/>
          <w:szCs w:val="28"/>
          <w:lang w:val="en-US"/>
        </w:rPr>
        <w:t>第十</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lang w:val="en-US"/>
        </w:rPr>
        <w:t>章 对公路水运工程试验检测机构的监督检查工作指引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TOC \o "1-1" \h \u </w:instrText>
      </w:r>
      <w:r>
        <w:rPr>
          <w:rFonts w:hint="default" w:ascii="Times New Roman" w:hAnsi="Times New Roman" w:cs="Times New Roman"/>
          <w:sz w:val="28"/>
          <w:szCs w:val="28"/>
          <w:lang w:val="en-US"/>
        </w:rPr>
        <w:fldChar w:fldCharType="separate"/>
      </w:r>
    </w:p>
    <w:p>
      <w:pPr>
        <w:pStyle w:val="2"/>
        <w:rPr>
          <w:rFonts w:hint="default" w:ascii="Times New Roman" w:hAnsi="Times New Roman" w:cs="Times New Roman"/>
          <w:lang w:val="en-US"/>
        </w:rPr>
      </w:pPr>
      <w:r>
        <w:rPr>
          <w:rFonts w:hint="default" w:ascii="Times New Roman" w:hAnsi="Times New Roman" w:cs="Times New Roman"/>
          <w:sz w:val="28"/>
          <w:szCs w:val="28"/>
          <w:lang w:val="en-US"/>
        </w:rPr>
        <w:fldChar w:fldCharType="end"/>
      </w:r>
    </w:p>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0" w:name="_Toc25476"/>
      <w:r>
        <w:rPr>
          <w:rFonts w:hint="default" w:ascii="Times New Roman" w:hAnsi="Times New Roman" w:eastAsia="仿宋" w:cs="Times New Roman"/>
          <w:b/>
          <w:bCs/>
          <w:color w:val="000000"/>
          <w:sz w:val="32"/>
          <w:szCs w:val="32"/>
          <w:lang w:val="en-US" w:eastAsia="zh-CN"/>
        </w:rPr>
        <w:t>第一章 对公路水运建设市场的监督检查工作指引</w:t>
      </w:r>
      <w:bookmarkEnd w:id="0"/>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公路</w:t>
      </w:r>
      <w:r>
        <w:rPr>
          <w:rFonts w:hint="default" w:ascii="Times New Roman" w:hAnsi="Times New Roman" w:eastAsia="仿宋" w:cs="Times New Roman"/>
          <w:color w:val="000000"/>
          <w:sz w:val="32"/>
          <w:szCs w:val="32"/>
          <w:lang w:val="en-US" w:eastAsia="zh-CN"/>
        </w:rPr>
        <w:t>水运</w:t>
      </w:r>
      <w:r>
        <w:rPr>
          <w:rFonts w:hint="default" w:ascii="Times New Roman" w:hAnsi="Times New Roman" w:eastAsia="仿宋" w:cs="Times New Roman"/>
          <w:color w:val="000000"/>
          <w:sz w:val="32"/>
          <w:szCs w:val="32"/>
          <w:lang w:val="en-US"/>
        </w:rPr>
        <w:t>建设市场督查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（一）检查内容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1.项目基本情况。包括工程建设标准、规模、投资、工期、开竣（交）工时间以及目前实施情况等。</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2.项目基本建设程序执行情况。包括工程可行性研究报告批复、项目核准立项、设计文件审查、施工许可、质量监督等基本建设程序落实等情况。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3.项目招标投标情况。包括招标程序、招标文件（资格预审文件）编制、专家抽取、评标、定标、合同签订、投诉举报受理与处理等情况。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4.项目建设管理情况。包括是否存在违法分包、转包、挂靠等情况；信用管理工作情况；安全生产信用体系建设情况；施工标准化、品质工程、坚守公路水运工程质量安全红线专项行动、安全生产专项整治三年行动、平安工地建设、扫黑除恶等专项活动开展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5.项目参与单位合同履约情况。包括人员履约、工程变更、工期控制、工程质量、安全生产、环境保护和廉政等情况。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6.农民工工资支付保障工作情况。包括有关制度落实，农民工工资支付监管平台使用等情况。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7.项目资金落实和支付情况。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8.项目建设存在的问题和整改落实情况。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采取现场检查方式，组织行政执法人员、业内专家，从重点公路工程项目中，根据信用分级分类监管相关要求，按照不低于10%的比例从“双随机、一公开”平台中随机抽取建设项目。对公路</w:t>
      </w:r>
      <w:r>
        <w:rPr>
          <w:rFonts w:hint="default" w:ascii="Times New Roman" w:hAnsi="Times New Roman" w:eastAsia="仿宋" w:cs="Times New Roman"/>
          <w:color w:val="000000"/>
          <w:sz w:val="32"/>
          <w:szCs w:val="32"/>
          <w:lang w:val="en-US" w:eastAsia="zh-CN"/>
        </w:rPr>
        <w:t>水运</w:t>
      </w:r>
      <w:r>
        <w:rPr>
          <w:rFonts w:hint="default" w:ascii="Times New Roman" w:hAnsi="Times New Roman" w:eastAsia="仿宋" w:cs="Times New Roman"/>
          <w:color w:val="000000"/>
          <w:sz w:val="32"/>
          <w:szCs w:val="32"/>
          <w:lang w:val="en-US"/>
        </w:rPr>
        <w:t>建设市场监管和市场主体行为，主要包括：建设程序、市场准入、招标投标、合同履约、农民工工资保障等方面法规制度的执行和监管情况，信用体系建设和应用情况，以及其他相关工作情况进行检查。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1" w:name="bookmark3651"/>
      <w:r>
        <w:rPr>
          <w:rFonts w:hint="default" w:ascii="Times New Roman" w:hAnsi="Times New Roman" w:eastAsia="仿宋" w:cs="Times New Roman"/>
          <w:color w:val="000000"/>
          <w:sz w:val="32"/>
          <w:szCs w:val="32"/>
          <w:lang w:val="en-US"/>
        </w:rPr>
        <w:t>1</w:t>
      </w:r>
      <w:bookmarkEnd w:id="1"/>
      <w:r>
        <w:rPr>
          <w:rFonts w:hint="default" w:ascii="Times New Roman" w:hAnsi="Times New Roman" w:eastAsia="仿宋" w:cs="Times New Roman"/>
          <w:color w:val="000000"/>
          <w:sz w:val="32"/>
          <w:szCs w:val="32"/>
          <w:lang w:val="en-US"/>
        </w:rPr>
        <w:t>、《中华人民共和国建筑法》（中华人民共和国</w:t>
      </w:r>
      <w:bookmarkStart w:id="27" w:name="_GoBack"/>
      <w:bookmarkEnd w:id="27"/>
      <w:r>
        <w:rPr>
          <w:rFonts w:hint="default" w:ascii="Times New Roman" w:hAnsi="Times New Roman" w:eastAsia="仿宋" w:cs="Times New Roman"/>
          <w:color w:val="000000"/>
          <w:sz w:val="32"/>
          <w:szCs w:val="32"/>
          <w:lang w:val="en-US"/>
        </w:rPr>
        <w:t>主席令第29号）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2" w:name="bookmark3652"/>
      <w:r>
        <w:rPr>
          <w:rFonts w:hint="default" w:ascii="Times New Roman" w:hAnsi="Times New Roman" w:eastAsia="仿宋" w:cs="Times New Roman"/>
          <w:color w:val="000000"/>
          <w:sz w:val="32"/>
          <w:szCs w:val="32"/>
          <w:lang w:val="en-US"/>
        </w:rPr>
        <w:t>2</w:t>
      </w:r>
      <w:bookmarkEnd w:id="2"/>
      <w:r>
        <w:rPr>
          <w:rFonts w:hint="default" w:ascii="Times New Roman" w:hAnsi="Times New Roman" w:eastAsia="仿宋" w:cs="Times New Roman"/>
          <w:color w:val="000000"/>
          <w:sz w:val="32"/>
          <w:szCs w:val="32"/>
          <w:lang w:val="en-US"/>
        </w:rPr>
        <w:t>、《中华人民共和国公路法》（2017年修订）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rPr>
        <w:t>《中华人民共和国港口法》（2015年修订）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lang w:val="en-US"/>
        </w:rPr>
        <w:t>《中华人民共和国航道法》（2015年施行）</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lang w:val="en-US"/>
        </w:rPr>
        <w:t>、《中华人民共和国招标投标法》（2017年修订）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lang w:val="en-US"/>
        </w:rPr>
        <w:t>、《建设工程质量管理条例》（中华人民共和国国务院令第279号）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lang w:val="en-US"/>
        </w:rPr>
        <w:t>、《保障农民工工资支付条例》（中华人民共和国国务院令第724号）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第四十三条相关行业工程建设主管部门应当依法规范本领域建设市场秩序，对违法发包、 转包、违法分包、挂靠等行为进行查处，并对导致拖欠农民工工资的违法行为及时予以制止、纠正。</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lang w:val="en-US"/>
        </w:rPr>
        <w:t>、《公路建设市场管理办法》（2015年修订）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第九条省级以下地方人民政府交通运输主管部门负责本行政区域内公路建设市场的监督管理工作，主要职责是:（三）对本行政区域内公路建设市场进行监督检查；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9</w:t>
      </w:r>
      <w:r>
        <w:rPr>
          <w:rFonts w:hint="default" w:ascii="Times New Roman" w:hAnsi="Times New Roman" w:eastAsia="仿宋" w:cs="Times New Roman"/>
          <w:color w:val="000000"/>
          <w:sz w:val="32"/>
          <w:szCs w:val="32"/>
          <w:lang w:val="en-US"/>
        </w:rPr>
        <w:t>、《公路建设市场督查工作规则》（交公路发〔2015〕59号）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lang w:val="en-US"/>
        </w:rPr>
        <w:t>、《公路工程施工分包管理办法》（2021年修订）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11、</w:t>
      </w:r>
      <w:r>
        <w:rPr>
          <w:rFonts w:hint="default" w:ascii="Times New Roman" w:hAnsi="Times New Roman" w:eastAsia="仿宋" w:cs="Times New Roman"/>
          <w:color w:val="000000"/>
          <w:sz w:val="32"/>
          <w:szCs w:val="32"/>
          <w:lang w:val="en-US"/>
        </w:rPr>
        <w:t>《水运建设市场督查管理办法》（交通运输部令2016年第74号）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二十六条各级交通运输主管部门应当加强对水运建设市场的监督检查，对发现的违法、违规行为依法及时处理，及时向社会公开水运建设市场管理相关信息。监督检查可以根据市场情况采取综合检查、专项检查、随机抽查等方式。</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地方交通运输主管部门应当加强对本行政区域的水运建设市场从业行为和下级交通运输主管部门履行水运建设管理职能情况进行监督检查。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各级交通运输主管部门应当建立随机抽取被检查对象、随机选派检查人员的抽查机制，合理确定抽查比例和抽查频次。</w:t>
      </w:r>
    </w:p>
    <w:p>
      <w:pPr>
        <w:pStyle w:val="9"/>
        <w:snapToGrid w:val="0"/>
        <w:spacing w:line="310" w:lineRule="exact"/>
        <w:ind w:firstLineChars="200"/>
        <w:textAlignment w:val="baseline"/>
        <w:rPr>
          <w:rFonts w:hint="default" w:ascii="Times New Roman" w:hAnsi="Times New Roman" w:eastAsia="仿宋" w:cs="Times New Roman"/>
          <w:color w:val="000000"/>
          <w:sz w:val="32"/>
          <w:szCs w:val="32"/>
          <w:lang w:val="en-US"/>
        </w:rPr>
      </w:pPr>
    </w:p>
    <w:p>
      <w:pPr>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3" w:name="_Toc22854"/>
      <w:r>
        <w:rPr>
          <w:rFonts w:hint="default" w:ascii="Times New Roman" w:hAnsi="Times New Roman" w:eastAsia="仿宋" w:cs="Times New Roman"/>
          <w:b/>
          <w:bCs/>
          <w:color w:val="000000"/>
          <w:sz w:val="32"/>
          <w:szCs w:val="32"/>
          <w:lang w:val="en-US" w:eastAsia="zh-CN"/>
        </w:rPr>
        <w:t>第二章  对车辆维修企业经营情况的监督检查工作指引</w:t>
      </w:r>
      <w:bookmarkEnd w:id="3"/>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bookmarkStart w:id="4" w:name="bookmark3318"/>
      <w:r>
        <w:rPr>
          <w:rFonts w:hint="default" w:ascii="Times New Roman" w:hAnsi="Times New Roman" w:eastAsia="仿宋" w:cs="Times New Roman"/>
          <w:color w:val="000000"/>
          <w:sz w:val="32"/>
          <w:szCs w:val="32"/>
          <w:lang w:val="en-US"/>
        </w:rPr>
        <w:t>车辆维修企业经营情况的检查</w:t>
      </w:r>
    </w:p>
    <w:bookmarkEnd w:id="4"/>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（―）企业经营条件的检查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人员条件：查看人员技术档案、人员培训记录、证书等是否符合《汽车维修业开业条件》（GB/T16739 - 2014）关于人员条件的要求。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设施、设备条件：查看现场、设施、设备是否符合《汽车维修业开业条件》（GB/T16739 - 2014）关于设施、设备条件的要求。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5" w:name="bookmark3319"/>
      <w:r>
        <w:rPr>
          <w:rFonts w:hint="default" w:ascii="Times New Roman" w:hAnsi="Times New Roman" w:eastAsia="仿宋" w:cs="Times New Roman"/>
          <w:color w:val="000000"/>
          <w:sz w:val="32"/>
          <w:szCs w:val="32"/>
          <w:lang w:val="en-US"/>
        </w:rPr>
        <w:t>（</w:t>
      </w:r>
      <w:bookmarkEnd w:id="5"/>
      <w:r>
        <w:rPr>
          <w:rFonts w:hint="default" w:ascii="Times New Roman" w:hAnsi="Times New Roman" w:eastAsia="仿宋" w:cs="Times New Roman"/>
          <w:color w:val="000000"/>
          <w:sz w:val="32"/>
          <w:szCs w:val="32"/>
          <w:lang w:val="en-US"/>
        </w:rPr>
        <w:t>二）安全生产条件的检查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查看制度文本、预案文件，现场是否存在安全隐患。</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6" w:name="bookmark3320"/>
      <w:r>
        <w:rPr>
          <w:rFonts w:hint="default" w:ascii="Times New Roman" w:hAnsi="Times New Roman" w:eastAsia="仿宋" w:cs="Times New Roman"/>
          <w:color w:val="000000"/>
          <w:sz w:val="32"/>
          <w:szCs w:val="32"/>
          <w:lang w:val="en-US"/>
        </w:rPr>
        <w:t>（</w:t>
      </w:r>
      <w:bookmarkEnd w:id="6"/>
      <w:r>
        <w:rPr>
          <w:rFonts w:hint="default" w:ascii="Times New Roman" w:hAnsi="Times New Roman" w:eastAsia="仿宋" w:cs="Times New Roman"/>
          <w:color w:val="000000"/>
          <w:sz w:val="32"/>
          <w:szCs w:val="32"/>
          <w:lang w:val="en-US"/>
        </w:rPr>
        <w:t>三）维修质量管理情况的检查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查看相关文件、资料、质量保证体系文件、车辆维修档案、现场公示以及相关制度、记录是否齐全。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7" w:name="bookmark3321"/>
      <w:r>
        <w:rPr>
          <w:rFonts w:hint="default" w:ascii="Times New Roman" w:hAnsi="Times New Roman" w:eastAsia="仿宋" w:cs="Times New Roman"/>
          <w:color w:val="000000"/>
          <w:sz w:val="32"/>
          <w:szCs w:val="32"/>
          <w:lang w:val="en-US"/>
        </w:rPr>
        <w:t>（</w:t>
      </w:r>
      <w:bookmarkEnd w:id="7"/>
      <w:r>
        <w:rPr>
          <w:rFonts w:hint="default" w:ascii="Times New Roman" w:hAnsi="Times New Roman" w:eastAsia="仿宋" w:cs="Times New Roman"/>
          <w:color w:val="000000"/>
          <w:sz w:val="32"/>
          <w:szCs w:val="32"/>
          <w:lang w:val="en-US"/>
        </w:rPr>
        <w:t>四）服务质量管理情况的检查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查看各种制度、档案、记录是否齐全。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bookmarkStart w:id="8" w:name="bookmark3322"/>
      <w:r>
        <w:rPr>
          <w:rFonts w:hint="default" w:ascii="Times New Roman" w:hAnsi="Times New Roman" w:eastAsia="仿宋" w:cs="Times New Roman"/>
          <w:color w:val="000000"/>
          <w:sz w:val="32"/>
          <w:szCs w:val="32"/>
          <w:lang w:val="en-US"/>
        </w:rPr>
        <w:t>（</w:t>
      </w:r>
      <w:bookmarkEnd w:id="8"/>
      <w:r>
        <w:rPr>
          <w:rFonts w:hint="default" w:ascii="Times New Roman" w:hAnsi="Times New Roman" w:eastAsia="仿宋" w:cs="Times New Roman"/>
          <w:color w:val="000000"/>
          <w:sz w:val="32"/>
          <w:szCs w:val="32"/>
          <w:lang w:val="en-US"/>
        </w:rPr>
        <w:t>五）应急预案的检查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查看预案文本是否建立。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（一）《中华人民共和国道路运输条例》（2019年3月2日修正版，国务院709号令）</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第六十五条 违反本条例的规定，未经许可擅自从事道路运输站（场）经营、机动车驾驶 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从事机动车维修经营业务不符合国务院交通主管部门制定的机动车维修经营业务标准的，由县级以上道路运输管理机构责令改正；情节严重的，由县级以上道路运输管理机构责令停业整顿。</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从事机动车维修经营业务，未按规定进行备案的，由县级以上道路运输管理机构责令改正；拒不改正的，处5000元以上2万元以下的罚款。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（二）《汽车维修业开业条件》（GB/T16739 - 2014）。</w:t>
      </w:r>
    </w:p>
    <w:p>
      <w:pPr>
        <w:pStyle w:val="9"/>
        <w:snapToGrid w:val="0"/>
        <w:spacing w:line="310" w:lineRule="exact"/>
        <w:ind w:firstLineChars="200"/>
        <w:textAlignment w:val="baseline"/>
        <w:rPr>
          <w:rFonts w:hint="default" w:ascii="Times New Roman" w:hAnsi="Times New Roman" w:eastAsia="仿宋" w:cs="Times New Roman"/>
          <w:color w:val="000000"/>
          <w:sz w:val="32"/>
          <w:szCs w:val="32"/>
          <w:lang w:val="en-US"/>
        </w:rPr>
      </w:pPr>
      <w:bookmarkStart w:id="9" w:name="bookmark3447"/>
      <w:bookmarkStart w:id="10" w:name="bookmark3451"/>
      <w:r>
        <w:rPr>
          <w:rFonts w:hint="default" w:ascii="Times New Roman" w:hAnsi="Times New Roman" w:eastAsia="仿宋" w:cs="Times New Roman"/>
          <w:color w:val="000000"/>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11" w:name="_Toc30336"/>
      <w:r>
        <w:rPr>
          <w:rFonts w:hint="default" w:ascii="Times New Roman" w:hAnsi="Times New Roman" w:eastAsia="仿宋" w:cs="Times New Roman"/>
          <w:b/>
          <w:bCs/>
          <w:color w:val="000000"/>
          <w:sz w:val="32"/>
          <w:szCs w:val="32"/>
          <w:lang w:val="en-US" w:eastAsia="zh-CN"/>
        </w:rPr>
        <w:t>第三章  对网约车平台公司的监督检查工作指引</w:t>
      </w:r>
      <w:bookmarkEnd w:id="11"/>
    </w:p>
    <w:bookmarkEnd w:id="9"/>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网约车平台公司的检查</w:t>
      </w:r>
    </w:p>
    <w:bookmarkEnd w:id="10"/>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（一）对网约车平台公司、车辆和驾驶员的资质审查与证件核发。</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（二）依法调取查阅管辖范围内网约车平台公司登记、运营和交易等相关数据信息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（一）《网络预约出租汽车经营服务管理暂行办法》（交通运输部、工业和信息化部、公安部、商务部、工商总局、质检总局、国家网信办令2016年第60号）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（二）《网络预约出租汽车经营服务管理暂行办法》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第二十九条 出租汽车行政主管部门应当建设和完善政府监管平台，实现与网约车平台信息共享。共享信息应当包括车辆和驾驶员基本信息、服务质量以及乘客评价信息等。出租汽车行政主管部门应当加强对网约车市场监管，加强对网约车平台公司、车辆和驾驶员的资质审查与证件核发管理。出租汽车行政主管部门应当定期组织开展网约车服务质量测评，并及时向社会公布本地区网约车平台公司基本信息、服务质量测评结果、乘客投诉处理情况等信息。出租汽车行政主管、公安等部门有权根据管理需要依法调取查阅管辖范围内网约车平台公司的登记、运营和交易等相关数据信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9"/>
        <w:numPr>
          <w:ilvl w:val="0"/>
          <w:numId w:val="1"/>
        </w:numPr>
        <w:spacing w:before="280" w:after="280" w:line="310" w:lineRule="exact"/>
        <w:ind w:left="960" w:leftChars="0" w:firstLine="0" w:firstLineChars="0"/>
        <w:jc w:val="both"/>
        <w:outlineLvl w:val="0"/>
        <w:rPr>
          <w:rFonts w:hint="default" w:ascii="Times New Roman" w:hAnsi="Times New Roman" w:eastAsia="仿宋" w:cs="Times New Roman"/>
          <w:b/>
          <w:bCs/>
          <w:color w:val="000000"/>
          <w:sz w:val="32"/>
          <w:szCs w:val="32"/>
          <w:lang w:val="en-US" w:eastAsia="zh-CN"/>
        </w:rPr>
      </w:pPr>
      <w:bookmarkStart w:id="12" w:name="_Toc21117"/>
      <w:r>
        <w:rPr>
          <w:rFonts w:hint="default" w:ascii="Times New Roman" w:hAnsi="Times New Roman" w:eastAsia="仿宋" w:cs="Times New Roman"/>
          <w:b/>
          <w:bCs/>
          <w:color w:val="000000"/>
          <w:sz w:val="32"/>
          <w:szCs w:val="32"/>
          <w:lang w:val="en-US" w:eastAsia="zh-CN"/>
        </w:rPr>
        <w:t>对城市公共汽电车客运（含线路经营）</w:t>
      </w:r>
    </w:p>
    <w:p>
      <w:pPr>
        <w:pStyle w:val="9"/>
        <w:numPr>
          <w:ilvl w:val="0"/>
          <w:numId w:val="0"/>
        </w:numPr>
        <w:spacing w:before="280" w:after="280" w:line="310" w:lineRule="exact"/>
        <w:ind w:firstLine="2570" w:firstLineChars="800"/>
        <w:jc w:val="both"/>
        <w:outlineLvl w:val="0"/>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的监督检查工作指引</w:t>
      </w:r>
      <w:bookmarkEnd w:id="12"/>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城市公共汽电车客运经营企业（含线路经营）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（一）投入运营车辆是否与许可一致、与其经营业务相适应并经检测合格</w:t>
      </w:r>
      <w:r>
        <w:rPr>
          <w:rFonts w:hint="default" w:ascii="Times New Roman" w:hAnsi="Times New Roman" w:eastAsia="仿宋" w:cs="Times New Roman"/>
          <w:color w:val="00000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（二）驾驶人员是否符合规定条件，是否遵守道路运输安全生产制度和操作规程</w:t>
      </w:r>
      <w:r>
        <w:rPr>
          <w:rFonts w:hint="default" w:ascii="Times New Roman" w:hAnsi="Times New Roman" w:eastAsia="仿宋" w:cs="Times New Roman"/>
          <w:color w:val="00000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三</w:t>
      </w: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运营线路是否符合规定。</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四</w:t>
      </w: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安全生产、运营服务情况。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五</w:t>
      </w: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法律、行政法规规定的其他要求落实情况。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（一）</w:t>
      </w:r>
      <w:r>
        <w:rPr>
          <w:rFonts w:hint="default" w:ascii="Times New Roman" w:hAnsi="Times New Roman" w:eastAsia="仿宋" w:cs="Times New Roman"/>
          <w:color w:val="000000"/>
          <w:sz w:val="32"/>
          <w:szCs w:val="32"/>
          <w:highlight w:val="none"/>
          <w:lang w:val="en-US" w:eastAsia="zh-CN"/>
        </w:rPr>
        <w:t>《山东省道路运输条例》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第四十九条第二款 交通运输行政主管部门应当加强对道路运输市场准入条件的审查，依法对道路运输站（场）安全生产、道路运输车辆技术状况、道路运输从业人员资格进行监督管理，提高道路运输安全生产水平。</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（二）</w:t>
      </w:r>
      <w:r>
        <w:rPr>
          <w:rFonts w:hint="default" w:ascii="Times New Roman" w:hAnsi="Times New Roman" w:eastAsia="仿宋" w:cs="Times New Roman"/>
          <w:color w:val="000000"/>
          <w:sz w:val="32"/>
          <w:szCs w:val="32"/>
          <w:highlight w:val="none"/>
          <w:lang w:val="en-US" w:eastAsia="zh-CN"/>
        </w:rPr>
        <w:t>《城市公共汽车和电车客运管理规定》</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第五十五条 城市公共交通主管部门应当建立“双随机”抽查制度，并定期对城市公共汽电车客运进行监督检查，维护正常的运营秩序，保障运营服务质量。</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第五十七条 城市公共交通主管部门应当建立运营企业服务质量评价制度，定期对运营企业的服务质量进行评价并向社会公布，评价结果作为衡量运营企业运营绩效、发放政府补贴和线路运营权管理等的依据。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pPr>
        <w:pStyle w:val="9"/>
        <w:snapToGrid w:val="0"/>
        <w:spacing w:line="310" w:lineRule="exact"/>
        <w:ind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13" w:name="_Toc22010"/>
      <w:r>
        <w:rPr>
          <w:rFonts w:hint="default" w:ascii="Times New Roman" w:hAnsi="Times New Roman" w:eastAsia="仿宋" w:cs="Times New Roman"/>
          <w:b/>
          <w:bCs/>
          <w:color w:val="000000"/>
          <w:sz w:val="32"/>
          <w:szCs w:val="32"/>
          <w:lang w:val="en-US" w:eastAsia="zh-CN"/>
        </w:rPr>
        <w:t>第五章 对巡游出租汽车客运经营的的监督检查工作指引</w:t>
      </w:r>
      <w:bookmarkEnd w:id="13"/>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巡游出租汽车客运监督检查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（一）投入运营资金、车辆及配套设施、设备是否符合许可条件</w:t>
      </w:r>
      <w:r>
        <w:rPr>
          <w:rFonts w:hint="default" w:ascii="Times New Roman" w:hAnsi="Times New Roman" w:eastAsia="仿宋" w:cs="Times New Roman"/>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（二）驾驶人员是否符合许可条件</w:t>
      </w:r>
      <w:r>
        <w:rPr>
          <w:rFonts w:hint="default" w:ascii="Times New Roman" w:hAnsi="Times New Roman" w:eastAsia="仿宋" w:cs="Times New Roman"/>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三</w:t>
      </w: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运营区域是否符合要求。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四</w:t>
      </w: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安全生产、运营服务情况。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五</w:t>
      </w: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法律、行政法规规定的其他要求落实情况。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（一）</w:t>
      </w:r>
      <w:r>
        <w:rPr>
          <w:rFonts w:hint="default" w:ascii="Times New Roman" w:hAnsi="Times New Roman" w:eastAsia="仿宋" w:cs="Times New Roman"/>
          <w:color w:val="000000"/>
          <w:sz w:val="32"/>
          <w:szCs w:val="32"/>
          <w:highlight w:val="none"/>
          <w:lang w:val="en-US" w:eastAsia="zh-CN"/>
        </w:rPr>
        <w:t>《《山东省道路运输条例》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第四十九条 交通运输行政主管部门应当加强对道路运输市场准入条件的审查，依法对道路运输站（场）安全生产、道路运输车辆技术状况、道路运输从业人员资格进行监督管理，提高道路运输安全生产水平。</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（二）</w:t>
      </w:r>
      <w:r>
        <w:rPr>
          <w:rFonts w:hint="default" w:ascii="Times New Roman" w:hAnsi="Times New Roman" w:eastAsia="仿宋" w:cs="Times New Roman"/>
          <w:color w:val="000000"/>
          <w:sz w:val="32"/>
          <w:szCs w:val="32"/>
          <w:highlight w:val="none"/>
          <w:lang w:val="en-US" w:eastAsia="zh-CN"/>
        </w:rPr>
        <w:t>《巡游出租汽车经营服务管理规定》第四十条、第四十一条。</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第四十条 县级以上地方人民政府出租汽车行政主管部门应当加强对巡游出租汽车经营行为的监督检查，会同有关部门纠正、制止非法从事巡游出租汽车经营及其他违法行为，维护出租汽车市场秩序。</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第四十一条 县级以上地方人民政府出租汽车行政主管部门应当对巡游出租汽车经营者履行经营协议情况进行监督检查，并按照规定对巡游出租汽车经营者和驾驶员进行服务质量信誉考核。</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14" w:name="_Toc11740"/>
      <w:bookmarkStart w:id="15" w:name="bookmark3634"/>
      <w:r>
        <w:rPr>
          <w:rFonts w:hint="default" w:ascii="Times New Roman" w:hAnsi="Times New Roman" w:eastAsia="仿宋" w:cs="Times New Roman"/>
          <w:b/>
          <w:bCs/>
          <w:color w:val="000000"/>
          <w:sz w:val="32"/>
          <w:szCs w:val="32"/>
          <w:lang w:val="en-US" w:eastAsia="zh-CN"/>
        </w:rPr>
        <w:t>第六章 对涉路工程建设项目的监督检查工作指引</w:t>
      </w:r>
      <w:bookmarkEnd w:id="14"/>
    </w:p>
    <w:bookmarkEnd w:id="15"/>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bookmarkStart w:id="16" w:name="bookmark3638"/>
      <w:r>
        <w:rPr>
          <w:rFonts w:hint="default" w:ascii="Times New Roman" w:hAnsi="Times New Roman" w:eastAsia="仿宋" w:cs="Times New Roman"/>
          <w:color w:val="000000"/>
          <w:sz w:val="32"/>
          <w:szCs w:val="32"/>
          <w:lang w:val="en-US" w:eastAsia="zh-CN"/>
        </w:rPr>
        <w:t>对涉路工程建设项目的抽查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w:t>
      </w:r>
      <w:bookmarkEnd w:id="16"/>
      <w:r>
        <w:rPr>
          <w:rFonts w:hint="default" w:ascii="Times New Roman" w:hAnsi="Times New Roman" w:eastAsia="仿宋" w:cs="Times New Roman"/>
          <w:color w:val="000000"/>
          <w:sz w:val="32"/>
          <w:szCs w:val="32"/>
          <w:highlight w:val="none"/>
          <w:lang w:val="en-US"/>
        </w:rPr>
        <w:t>、抽查实施办法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三、抽查内容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项目是否取得涉路工程建设许可后施工；涉路工程的主要技术指标是否按照许可施工图纸进行施工；涉路工程建设单位是否按照许可要求和协议进行涉路工程建设；损坏的公路、公路附属设施、边沟、绿化等相关路产是否按规定恢复；交通安全防护设施设置及施工交通组织是否按照相关方案进行组织；涉路工程施工现场的其他施工规范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四、监督检查依据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（一）《中华人民共和国公路法》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 建筑控制区范围经县级以上地方人民政府依照前款规定划定后，由县级以上地方人民政府交通主管部门设置标桩、界桩。任何单位和个人不得损坏、擅自挪动该标桩、界桩。</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（二）《公路安全保护条例》　</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（三）《山东省公路路政条例》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第九条 进行下列涉路工程建设，建设单位应当向公路路政管理部门提出许可申请：1、因修建铁路、机场、供电、水利、通信等建设工程需要占用、挖掘公路、公路用地或者使公路改线；2、跨越、穿越公路修建桥梁、渡槽或者架设、埋设管道、电缆等设施；3、在公路用地范围内架设、埋设管线、电缆等设施；4、利用公路桥梁、公路隧道、涵洞铺设电缆等设施；5、在公路上增设或者改造平面交叉道口。</w:t>
      </w:r>
    </w:p>
    <w:p>
      <w:pPr>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17" w:name="bookmark3562"/>
      <w:bookmarkStart w:id="18" w:name="bookmark3564"/>
      <w:bookmarkStart w:id="19" w:name="bookmark3563"/>
      <w:bookmarkStart w:id="20" w:name="_Toc17691"/>
      <w:r>
        <w:rPr>
          <w:rFonts w:hint="default" w:ascii="Times New Roman" w:hAnsi="Times New Roman" w:eastAsia="仿宋" w:cs="Times New Roman"/>
          <w:b/>
          <w:bCs/>
          <w:color w:val="000000"/>
          <w:sz w:val="32"/>
          <w:szCs w:val="32"/>
          <w:lang w:val="en-US" w:eastAsia="zh-CN"/>
        </w:rPr>
        <w:t xml:space="preserve">第七章 </w:t>
      </w:r>
      <w:bookmarkEnd w:id="17"/>
      <w:bookmarkEnd w:id="18"/>
      <w:bookmarkEnd w:id="19"/>
      <w:r>
        <w:rPr>
          <w:rFonts w:hint="default" w:ascii="Times New Roman" w:hAnsi="Times New Roman" w:eastAsia="仿宋" w:cs="Times New Roman"/>
          <w:b/>
          <w:bCs/>
          <w:color w:val="000000"/>
          <w:sz w:val="32"/>
          <w:szCs w:val="32"/>
          <w:lang w:val="en-US" w:eastAsia="zh-CN"/>
        </w:rPr>
        <w:t>对非公路标志设置的监督检查工作指引</w:t>
      </w:r>
      <w:bookmarkEnd w:id="20"/>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对利用跨越公路设施及在公路用地范围内设置的非公路标志抽查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二、抽查实施办法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三、抽查内容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否取得非公路标志许可后施工；施工位置 、施工方案 、技术指标等是否与许可的内容一致；因施工造成公路及附属设施损坏的 ，是否按标准及时修复； 交通安全设施设置是否规范、完好； 是否符合保障公路及附属设施质量和安全的要求。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四、监督检查依据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（一）《中华人民共和国公路法》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第五十四条 任何单位和个人未经县级以上地方人民政府交通主管部门批准，不得在公路用地范围内设置公路标志以外的其他标志。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（二）《公路安全保护条例》　</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（三）《山东省公路路政条例》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第十一条 利用跨越公路桥梁等设施悬挂或者在公路用地范围内设置非公路标志的，应当依法向交通运输主管部门申请许可，并提交施工图设计、施工方案及相应的技术评价报告。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设置非公路标志，应当符合非公路标志设置规划、技术标准和公路安全畅通的要求。</w:t>
      </w:r>
    </w:p>
    <w:p>
      <w:pPr>
        <w:pStyle w:val="9"/>
        <w:snapToGrid w:val="0"/>
        <w:spacing w:line="31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21" w:name="_Toc24895"/>
      <w:r>
        <w:rPr>
          <w:rFonts w:hint="default" w:ascii="Times New Roman" w:hAnsi="Times New Roman" w:eastAsia="仿宋" w:cs="Times New Roman"/>
          <w:b/>
          <w:bCs/>
          <w:color w:val="000000"/>
          <w:sz w:val="32"/>
          <w:szCs w:val="32"/>
          <w:lang w:val="en-US" w:eastAsia="zh-CN"/>
        </w:rPr>
        <w:t>第八章 对</w:t>
      </w:r>
      <w:bookmarkStart w:id="22" w:name="_Hlk88895549"/>
      <w:r>
        <w:rPr>
          <w:rFonts w:hint="default" w:ascii="Times New Roman" w:hAnsi="Times New Roman" w:eastAsia="仿宋" w:cs="Times New Roman"/>
          <w:b/>
          <w:bCs/>
          <w:color w:val="000000"/>
          <w:sz w:val="32"/>
          <w:szCs w:val="32"/>
          <w:lang w:val="en-US" w:eastAsia="zh-CN"/>
        </w:rPr>
        <w:t>道路危险货物运输企业的监督检查</w:t>
      </w:r>
      <w:bookmarkEnd w:id="22"/>
      <w:r>
        <w:rPr>
          <w:rFonts w:hint="default" w:ascii="Times New Roman" w:hAnsi="Times New Roman" w:eastAsia="仿宋" w:cs="Times New Roman"/>
          <w:b/>
          <w:bCs/>
          <w:color w:val="000000"/>
          <w:sz w:val="32"/>
          <w:szCs w:val="32"/>
          <w:lang w:val="en-US" w:eastAsia="zh-CN"/>
        </w:rPr>
        <w:t>工作指引</w:t>
      </w:r>
      <w:bookmarkEnd w:id="21"/>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道路危险货物运输企业检查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（一）营业执照、道路运输经营许可证规范使用情况的检查。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检查是否将营业执照、道路运输经营许可证置于营业场所醒目位置；营业执照、道路运输经营许可证是否存在涂改行为；是否存在超出经营期限、经营范围开展经营活动的行为。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（二）有符合下列要求的从业人员和安全管理人员</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1.专用车辆的驾驶人员取得相应机动车驾驶证，年龄不超过60周岁。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2.从事道路危险货物运输的驾驶人员、装卸管理人员、押运人员应当经所在地设区的市级 人民政府交通运输主管部门考试合格，并取得相应的从业资格证；从事剧毒化学品、爆炸品道路 运输的驾驶人员、装卸管理人员、押运人员，应当经考试合格，取得注明为“剧毒化学品运输”或者“爆炸品运输”类别的从业资格证。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3.企业应当配备专职安全管理人员。</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（三）车辆条件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1.自有专用车辆（挂车除外）5辆以上；运输剧毒化学品、爆炸品的，自有专用车辆（挂 车除外）1。辆以上。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2.专用车辆技术性能符合国家标准《营运车辆综合性能要求和检验方法》（GB18565）的要 求；技术等级达到行业标准《营运车辆技术等级划分和评定要求》（JT/T198）规定的一级技术 等级。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3.专用车辆外廓尺寸、轴荷和质量符合国家标准《道路车辆外廓尺寸、轴荷和质量限值》 （GB1589）的要求。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4.专用车辆燃料消耗量符合行业标准《营运货车燃料消耗量限值及测量方法》（JT719）的 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5.配备有效的通讯工具。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6.专用车辆应当安装具有行驶记录功能的卫星定位装置。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7.运输剧毒化学品、爆炸品、易制爆危险化学品的，应当配备罐式、厢式专用车辆或者压 力容器等专用容器。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8.罐式专用车辆的罐体应当经质量检验部门检验合格，且罐体载货后总质量与专用车辆核 定载质量相匹配。运输爆炸品、强腐蚀性危险货物的罐式专用车辆的罐体容积不得超过20立方米，运输剧毒化学品的罐式专用车辆的罐体容积不得超过10立方米，但符合国家有关标准的罐式集装箱除外。</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9.运输剧毒化学品、爆炸品、强腐蚀性危险货物的非罐式专用车辆，核定载质量不得超过10吨，但符合国家有关标准的集装箱运输专用车辆除外。</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10.配备与运输的危险货物性质相适应的安全防护、环境保护和消防设施设备。</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（四）有符合下列要求的停车场地</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1.自有或者租借期限为3年以上，且与经营范围、规模相适应的停车场地，停车场地应当位于企业注册地市级行政区域内。</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3.停车场地应当封闭并设立明显标志，不得妨碍居民生活和威胁公共安全。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（五）有健全的安全生产管理制度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1.企业主要负责人、安全管理部门负责人、专职安全管理人员安全生产责任制度。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2.从业人员安全生产责任制度。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3.安全生产监督检查制度。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4.安全生产教育培训制度。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5.从业人员、专用车辆、设备及停车场地安全管理制度。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6.应急救援预案制度。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7.安全生产作业规程。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8.安全生产考核与奖惩制度。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9.安全事故报告、统计与处理制度。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检查方式：现场检查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《道路危险货物运输管理规定》（中华人民共和国交通运输部令 2019年第42号）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第五十六条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（一）未取得道路危险货物运输许可，擅自从事道路危险货物运输的；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（二）使用失效、伪造、变造、被注销等无效道路危险货物运输许可证件从事道路危险货物运输的；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（三）超越许可事项，从事道路危险货物运输的；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（四）非经营性道路危险货物运输单位从事道路危险货物运输经营的。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第五十七条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（一）未投保危险货物承运人责任险的；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（二）投保的危险货物承运人责任险已过期，未继续投保的。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第五十九条　违反本规定，道路危险货物运输企业或者单位不按照规定随车携带《道路运输证》的，由县级以上道路运输管理机构责令改正，处警告或者20元以上200元以下的罚款。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（一）驾驶人员、装卸管理人员、押运人员未取得从业资格上岗作业的；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（二）托运人不向承运人说明所托运的危险化学品的种类、数量、危险特性以及发生危险情况的应急处置措施，或者未按照国家有关规定对所托运的危险化学品妥善包装并在外包装上设置相应标志的；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（三）未根据危险化学品的危险特性采取相应的安全防护措施，或者未配备必要的防护用品和应急救援器材的；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（四）运输危险化学品需要添加抑制剂或者稳定剂，托运人未添加或者未将有关情况告知承运人的。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第六十一条　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第六十二条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（一）委托未依法取得危险货物道路运输许可的企业承运危险化学品的；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（二）在托运的普通货物中夹带危险化学品，或者将危险化学品谎报或者匿报为普通货物托运的。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第六十三条　违反本规定，道路危险货物运输企业擅自改装已取得《道路运输证》的专用车辆及罐式专用车辆罐体的，由县级以上道路运输管理机构责令改正，并处5000元以上2万元以下的罚款。</w:t>
      </w:r>
    </w:p>
    <w:p>
      <w:pPr>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23" w:name="_Toc19239"/>
      <w:r>
        <w:rPr>
          <w:rFonts w:hint="default" w:ascii="Times New Roman" w:hAnsi="Times New Roman" w:eastAsia="仿宋" w:cs="Times New Roman"/>
          <w:b/>
          <w:bCs/>
          <w:color w:val="000000"/>
          <w:sz w:val="32"/>
          <w:szCs w:val="32"/>
          <w:lang w:val="en-US" w:eastAsia="zh-CN"/>
        </w:rPr>
        <w:t>第九章 对旅游包车客运企业的监督检查工作指引</w:t>
      </w:r>
      <w:bookmarkEnd w:id="23"/>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旅游包车客运企业的监督抽查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（―）营业执照、道路运输经营许可证规范使用情况的检查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检查是否将营业执照、道路运输经营许可证置于营业场所醒目位置；营业执照、道路运输经营许可证是否存在涂改行为；是否存在超出经营期限、经营范围开展经营活动的行为。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（二）人员条件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是否建立驾驶人员管理档案，已聘用或者拟聘用驾驶人员的驾驶证和从业资格证及其复印件，公安部门出具的3年内无重大以上交通责任事故的证明；是否建立驾驶人员岗前培训、安全培训教育情况。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（三）车辆条件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从事包车客运的客车，其类型等级应当达到中级以上。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经营省际包车客运的经营者，应当自有中高级营运客车20辆以上。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经营省内包车客运的经营者，应当自有营运客车10辆以上。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（四）安全生产管理制度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检查方式：现场检查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（一）《中华人民共和国道路运输条例》（2019年国务院令第709号）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 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第六十四条 不符合本条例第九条、第二十二条规定条件的人员驾驶道路运输经营车辆的，由县级以上道路运输管理机构责令改正，处200元以上2000元以下的罚款；构成犯罪的，依法追究刑事责任。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（二）交通运输部《道路旅客运输及客运站管理规定》（中华人民共和国交通运输部令2020年第17号）》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（一）未取得道路客运经营许可，擅自从事道路客运经营的；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（二）未取得道路客运班线经营许可，擅自从事班车客运经营的；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（三）使用失效、伪造、变造、被注销等无效的道路客运许可证件从事道路客运经营的；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（四）超越许可事项，从事道路客运经营的。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第九十五条 违反本规定，客运经营者、客运站经营者非法转让、出租道路运输经营许可证件的，由县级以上道路运输管理机构责令停止违法行为，收缴有关证件，处2000元以上1万元以下的罚款；有违法所得的，没收违法所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第九十六条 违反本规定，客运经营者有下列行为之一的，由县级以上道路运输管理机构责令限期投保；拒不投保的，由原许可机关吊销相应许可：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（一）未为旅客投保承运人责任险的；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（二）未按照最低投保限额投保的；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（三）投保的承运人责任险已过期，未继续投保的。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第九十七条 违反本规定，客运经营者使用未持合法有效《道路运输证》的车辆参加客运经营的，或者聘用不具备从业资格的驾驶员参加客运经营的，由县级以上道路运输管理机构责令改正，处3000元以上1万元以下的罚款。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违反本规定，客运经营者不按照规定随车携带《道路运输证》的，由县级以上道路运输管理机构责令改正，处警告或者20元以上200元以下的罚款。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第九十八条 违反本规定，客运经营者或者其委托的售票单位、客运站经营者不按规定使用道路运输业专用票证或者转让、倒卖、伪造道路运输业专用票证的，由县级以上道路运输管理机构责令改正，处1000元以上3000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第一百条 违反本规定，客运经营者有下列情形之一的，由县级以上道路运输管理机构责令改正，处1000元以上3000元以下的罚款：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（一）客运班车不按照批准的配客站点停靠或者不按照规定的线路、日发班次下限行驶的；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（二）加班车、顶班车、接驳车无正当理由不按照规定的线路、站点运行的；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（三）以欺骗、暴力等手段招揽旅客的；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（四）擅自将旅客移交他人运输的；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（五）在旅客运输途中擅自变更运输车辆的；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（六）未报告原许可机关，擅自终止道路客运经营的；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（七）客运包车未持有效的包车客运标志牌进行经营的，不按照包车客运标志牌载明的事项运行的，线路两端均不在车籍所在地的，招揽包车合同以外的旅客乘车的；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（八）开展定制客运未按照规定备案的；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（九）未按照规定在发车前对旅客进行安全事项告知的。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违反前款第（一）至（六）项规定，情节严重的，由原许可机关吊销相应许可。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第一百零一条 违反本规定，客运经营者、客运站经营者存在重大运输安全隐患等情形，导致不具备安全生产条件，经停产停业整顿仍不具备安全生产条件的，由县级以上道路运输管理机构依法吊销相应许可。</w:t>
      </w:r>
    </w:p>
    <w:p>
      <w:pPr>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24" w:name="_Hlk88895608"/>
      <w:bookmarkStart w:id="25" w:name="_Toc19554"/>
      <w:r>
        <w:rPr>
          <w:rFonts w:hint="default" w:ascii="Times New Roman" w:hAnsi="Times New Roman" w:eastAsia="仿宋" w:cs="Times New Roman"/>
          <w:b/>
          <w:bCs/>
          <w:color w:val="000000"/>
          <w:sz w:val="32"/>
          <w:szCs w:val="32"/>
          <w:lang w:val="en-US" w:eastAsia="zh-CN"/>
        </w:rPr>
        <w:t>第十章 对道路普通货物运输企业的监督检查工作指引</w:t>
      </w:r>
      <w:bookmarkEnd w:id="24"/>
      <w:bookmarkEnd w:id="25"/>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对道路普通货物运输企业的检查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（一）营业执照（登记证）规范使用情况的检查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检查是否将营业执照置于住所或者营业场所醒目位置，营业执照是否存在涂改行为。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（二）有符合下列要求的从业人员</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1.取得与驾驶车辆相适应的机动车驾驶证，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2.年龄不超过60周岁。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3.经设区的市级道路运输管理机构对有关道路货物运输法规、机动车维修和货物及装载保管基本知识考试合格，并取得从业资格证。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（三）车辆条件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1.车辆技术要求应当符合《道路运输车辆技术管理规定》有关规定。</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2.车辆其他要求：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（1）从事大型物件运输经营的，应当具有与所运输大型物件相适应的超重型车组；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（2）从事冷藏保鲜、罐式容器等专用运输的，应当具有与运输货物相适应的专用容器、设备、设施，并固定在专用车辆上；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（3）从事集装箱运输的，车辆还应当有固定集装箱的转锁装置。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检查方式：现场检查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（一）《中华人民共和国道路运输条例》（2019年国务院令第709号）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第五十八条 道路运输管理机构的工作人员应当严格按照职责权限和程序进行监督检查，不得乱设卡、乱收费、乱罚款。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道路运输管理机构的工作人员应当重点在道路运输及相关业务经营场所、客货集散地进行监督检查。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道路运输管理机构的工作人员在公路路口进行监督检查时，不得随意拦截正常行驶的道路运 输车辆。</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（二）《道路货物运输及站场管理规定》（交通运输部令2019年第17号）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第四十八条道路运输管理机构应当加强对道路货物运输经营和货运站经营活动的监督检查。道路运输管理机构工作人员应当严格按照职责权限和法定程序进行监督检查。</w:t>
      </w:r>
    </w:p>
    <w:p>
      <w:pPr>
        <w:pStyle w:val="9"/>
        <w:snapToGrid w:val="0"/>
        <w:spacing w:line="31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26" w:name="_Toc2062"/>
      <w:r>
        <w:rPr>
          <w:rFonts w:hint="default" w:ascii="Times New Roman" w:hAnsi="Times New Roman" w:eastAsia="仿宋" w:cs="Times New Roman"/>
          <w:b/>
          <w:bCs/>
          <w:color w:val="000000"/>
          <w:sz w:val="32"/>
          <w:szCs w:val="32"/>
          <w:lang w:val="en-US" w:eastAsia="zh-CN"/>
        </w:rPr>
        <w:t>第十一章 对公路水运工程试验检测机构的监督检查工作指引</w:t>
      </w:r>
      <w:bookmarkEnd w:id="26"/>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公路水运工程试验检测机构督查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（一）检查内容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1.试验检测机构等级证书使用的规范性，有无转包、违法分包、违规分包、超范围承揽业务和涂改、租赁登记证书的行为；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2.工地试验室是否按照有关要求建立，是否取得《公路水运工程工地试验室备案通知书》；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3.有无超范围检测项目；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4.工地试验室执行国家及交通运输部颁布的法规、标准、规范、规程的正确性；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5.原始记录、试验检测数据、报告的真实性、规范性和完整性；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6.仪器设备的运行、检定和校准情况；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7.质量保证体系运行的有效性；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8.检测人员履约、变更状况以及试验检测活动的规范性、合法性和真实性；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9.依职责应当监督检查的其他内容。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采取现场检查方式，组织行政执法人员、业内专家，对从全省重点公路水运工程建设项目库中按照不低于10%的比例随机抽取建设项目，对其试验检测机构和工地试验室标准规范执行、工作规范性、内部运行管理等情况进行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《公路水运工程试验检测管理办法》（交通运输部令2019年第38号）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第五条：省级人民政府交通运输主管部门负责本行政区域内公路水运工程试验检测活动的监督管理。</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《山东省公路水运工程工地试验室管理办法》（鲁交发〔2020〕5号）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第四条：省交通运输主管部门负责全省公路水运工程工地试验室的监督管理，设区的市和县级交通运输主管部门按照规定的职责负责本行政区域内的公路水运工程工地试验室的监督管理。</w:t>
      </w:r>
    </w:p>
    <w:p>
      <w:pPr>
        <w:keepNext w:val="0"/>
        <w:keepLines w:val="0"/>
        <w:pageBreakBefore w:val="0"/>
        <w:widowControl w:val="0"/>
        <w:kinsoku/>
        <w:wordWrap/>
        <w:overflowPunct/>
        <w:topLinePunct w:val="0"/>
        <w:autoSpaceDE/>
        <w:autoSpaceDN/>
        <w:bidi w:val="0"/>
        <w:adjustRightInd/>
        <w:spacing w:line="500" w:lineRule="exact"/>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pStyle w:val="2"/>
        <w:rPr>
          <w:rFonts w:hint="default"/>
        </w:rPr>
      </w:pPr>
    </w:p>
    <w:p>
      <w:pPr>
        <w:pStyle w:val="11"/>
        <w:spacing w:line="100" w:lineRule="exact"/>
        <w:ind w:firstLine="641"/>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pBdr>
          <w:top w:val="single" w:color="000000" w:sz="6" w:space="1"/>
          <w:bottom w:val="single" w:color="000000" w:sz="6" w:space="0"/>
        </w:pBdr>
        <w:spacing w:line="500" w:lineRule="atLeast"/>
        <w:rPr>
          <w:rFonts w:hint="default" w:ascii="Times New Roman" w:hAnsi="Times New Roman" w:cs="Times New Roman"/>
        </w:rPr>
      </w:pPr>
      <w:r>
        <w:rPr>
          <w:rFonts w:hint="default" w:ascii="Times New Roman" w:hAnsi="Times New Roman" w:eastAsia="仿宋_GB2312" w:cs="Times New Roman"/>
          <w:sz w:val="32"/>
          <w:szCs w:val="32"/>
        </w:rPr>
        <w:t>周村区交通运输局                    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cs="Times New Roman"/>
          <w:sz w:val="32"/>
          <w:szCs w:val="32"/>
          <w:lang w:val="en-US" w:eastAsia="zh-CN"/>
        </w:rPr>
        <w:t>28</w:t>
      </w:r>
      <w:r>
        <w:rPr>
          <w:rFonts w:hint="default" w:ascii="Times New Roman" w:hAnsi="Times New Roman" w:eastAsia="仿宋_GB2312" w:cs="Times New Roman"/>
          <w:sz w:val="32"/>
          <w:szCs w:val="32"/>
        </w:rPr>
        <w:t>日印发</w:t>
      </w:r>
    </w:p>
    <w:sectPr>
      <w:footerReference r:id="rId3" w:type="default"/>
      <w:pgSz w:w="11906" w:h="16838"/>
      <w:pgMar w:top="1588" w:right="1588" w:bottom="1588" w:left="1588" w:header="851" w:footer="992" w:gutter="0"/>
      <w:pgNumType w:fmt="numberInDash" w:start="1"/>
      <w:cols w:space="720" w:num="1"/>
      <w:docGrid w:type="lines" w:linePitch="6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- 1 -</w:t>
    </w:r>
    <w:r>
      <w:rPr>
        <w:rStyle w:val="8"/>
        <w:rFonts w:ascii="宋体" w:hAnsi="宋体" w:eastAsia="宋体"/>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45808"/>
    <w:multiLevelType w:val="singleLevel"/>
    <w:tmpl w:val="1F845808"/>
    <w:lvl w:ilvl="0" w:tentative="0">
      <w:start w:val="4"/>
      <w:numFmt w:val="chineseCounting"/>
      <w:suff w:val="space"/>
      <w:lvlText w:val="第%1章"/>
      <w:lvlJc w:val="left"/>
      <w:pPr>
        <w:ind w:left="9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438D"/>
    <w:rsid w:val="01226984"/>
    <w:rsid w:val="065456BC"/>
    <w:rsid w:val="0F823DB2"/>
    <w:rsid w:val="1726279B"/>
    <w:rsid w:val="18F109F3"/>
    <w:rsid w:val="1E8F40C9"/>
    <w:rsid w:val="1EAA2CB1"/>
    <w:rsid w:val="20532727"/>
    <w:rsid w:val="2519649B"/>
    <w:rsid w:val="273E2B9A"/>
    <w:rsid w:val="383E1AFC"/>
    <w:rsid w:val="3C9E6D50"/>
    <w:rsid w:val="42F500EF"/>
    <w:rsid w:val="468F0ACD"/>
    <w:rsid w:val="4A6C2B57"/>
    <w:rsid w:val="4CD31DD7"/>
    <w:rsid w:val="4D4F241F"/>
    <w:rsid w:val="4D6C55A5"/>
    <w:rsid w:val="53066D0F"/>
    <w:rsid w:val="54B50332"/>
    <w:rsid w:val="5BC04FF3"/>
    <w:rsid w:val="5F2A0FD0"/>
    <w:rsid w:val="6ADA4D56"/>
    <w:rsid w:val="6E9B0588"/>
    <w:rsid w:val="6F703837"/>
    <w:rsid w:val="7D38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Body text|1"/>
    <w:basedOn w:val="1"/>
    <w:qFormat/>
    <w:uiPriority w:val="0"/>
    <w:pPr>
      <w:spacing w:line="319" w:lineRule="auto"/>
      <w:ind w:firstLine="400"/>
      <w:jc w:val="left"/>
    </w:pPr>
    <w:rPr>
      <w:rFonts w:ascii="宋体" w:hAnsi="宋体" w:cs="宋体"/>
      <w:kern w:val="0"/>
      <w:sz w:val="20"/>
      <w:szCs w:val="20"/>
      <w:lang w:val="zh-CN" w:bidi="zh-CN"/>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customStyle="1" w:styleId="11">
    <w:name w:val="p0"/>
    <w:basedOn w:val="1"/>
    <w:qFormat/>
    <w:uiPriority w:val="0"/>
    <w:pPr>
      <w:widowControl/>
    </w:pPr>
    <w:rPr>
      <w:kern w:val="0"/>
      <w:szCs w:val="21"/>
    </w:rPr>
  </w:style>
  <w:style w:type="paragraph" w:customStyle="1" w:styleId="12">
    <w:name w:val="Char Char Char Char Char Char Char Char Char1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6B6B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2022-02-16T02:28:00Z</dcterms:created>
  <dc:creator>Administrator.PC-20200930LMHJ</dc:creator>
  <cp:lastModifiedBy>游弋 </cp:lastModifiedBy>
  <cp:lastPrinted>2022-02-25T01:13:00Z</cp:lastPrinted>
  <dcterms:modified xsi:type="dcterms:W3CDTF">2022-12-27T01:31:41Z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AE1016B6F469498ABEF45D34934AE4F9</vt:lpwstr>
  </property>
</Properties>
</file>