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养老服务省级扶持政策办理指南</w:t>
      </w:r>
    </w:p>
    <w:p>
      <w:pPr>
        <w:jc w:val="center"/>
        <w:rPr>
          <w:rFonts w:hint="eastAsia" w:ascii="仿宋_GB2312" w:hAnsi="仿宋_GB2312" w:eastAsia="仿宋_GB2312" w:cs="仿宋_GB2312"/>
          <w:sz w:val="32"/>
          <w:szCs w:val="32"/>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一、补贴依据</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山东省财政厅关于印发&lt;山东省省级养老服务专项资金补助项目实施方案&gt;的通知》（鲁民〔2021〕21号）</w:t>
      </w: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二、养老服务扶持政策内容及补贴对象</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1.护理型养老机构一次性建设补助项目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由政府、企业、社会组织、个人，以新建、扩建以及利用自有房产、租赁房屋改建等方式建设的，重点为失能、半失能老年人提供服务的护理型养老机构、养护院、护理院等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项目土地、建设、房产手续齐全。其中，以租赁土地形式新建的项目，土地租赁期应在10年以上；以租赁房屋形式改建的项目，租赁房屋期限应在5年以上。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床位应为护理型床位，不少于20张，符合《养老机构护理型床位认定》（DB37/T3587-2019）、《老年养护院建设标准》（建标144-2010）、《护理院基本标准(2011版)》等标准规范。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取得卫生健康部门的执业许可或备案证明，配备相应的医生、护士和护理人员。</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项目建成验收合格并投入使用。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依法办理法人登记，并在当地民政部门备案，相关信息完整录入省养老管理平台。</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补助标准：对符合条件的养老机构，按核定护理型床位给予一次性新建、扩建补助或租赁改建补助，每张床位补助标准为3500-9000元。</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2.特困人员供养设施（敬老院）一次性建设补助项目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补助对象：2021年1月1日起，本省行政区域范围内政府以独资、合资、合作等方式，新建或依托现有敬老院设施扩建、改造提升的，以失能、半失能特困人员专业照护为主的特困人员供养设施（敬老院）。</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纳入省级特困人员供养设施（敬老院）三年改造提升计划。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土地、建设或房产手续齐全。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床位应为护理型床位，符合《特困人员供养服务设施（敬老院）建设标准》（建标184-2017）等标准规范，依托现有敬老院改造提升的应达到民发〔2019〕80号规定的22项改造提升基础指标。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项目应已开工或投入使用，已投入使用项目应依法办理法人登记，并在当地民政部门备案。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相关信息完整录入省养老管理平台。</w:t>
      </w:r>
    </w:p>
    <w:p>
      <w:pPr>
        <w:ind w:firstLine="640" w:firstLineChars="200"/>
        <w:jc w:val="left"/>
        <w:rPr>
          <w:rFonts w:hint="eastAsia"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及方式：对符合条件的特困人员供养设施（敬老院），按核定护理型床位给予一次性建设补助或改造提升补助。项目开工经审核后预拨70%补助资金，其余30%资金待验收合格后予以拨付。该补助项目与护理型养老机构一次性建设补助项目不重复享受。每张新建、扩建床位补助标准为9000元，改造提升床位补助标准为2700元。</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3.养老机构运营补助项目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补助范围：本省行政区域范围内已投入运营，重点为失能、半失能老年人提供服务的民办养老机构、委托第三方运营的公办养老机构、政府与第三方合资合作养老机构，补助对象为实际运营方。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投入运营时间满一年。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经评估达到 1 星级及以上。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依法办理法人登记，并在当地民政部门备案或许可。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入住老年人信息应录入省养老管理平台，并及时更新。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 xml:space="preserve">入住老年人满意率达到 90%以上。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⑥</w:t>
      </w:r>
      <w:r>
        <w:rPr>
          <w:rFonts w:hint="eastAsia" w:ascii="仿宋_GB2312" w:hAnsi="仿宋_GB2312" w:eastAsia="仿宋_GB2312" w:cs="仿宋_GB2312"/>
          <w:sz w:val="32"/>
          <w:szCs w:val="32"/>
          <w:lang w:val="en-US" w:eastAsia="zh-CN"/>
        </w:rPr>
        <w:t>获得上一次省级养老服务专项资金养老机构运营奖补时间已达到一年。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民办和委托第三方运营的公办养老机构，根据收住的中度、重度的老年人数进行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4.社区老年人日间照料中心、农村幸福院运营奖补项目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奖补范围：本省行政区域范围内由街道、社区、村（居）委会、个人或社会力量运营，为老年人提供日间照料、文化娱乐、精神慰藉等服务的社区老年人日间照料中心、农村幸福院，补助对象为实际运营方。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 1 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符合《城镇社区老年人日间照料中心等级划分》（DB37/T2722－2015）、《农村幸福院等级划分与评定》（DB37/T3774－2020）等建设标准和功能设置要求。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经评估达到1星级及以上。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日常运营和服务规范，按标准配备服务人员，在显要位置公示服务人员和监督电话，纳入乡镇人民政府（街道办事处）日常监管。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服务老年人满意率90%以上。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条件的社区老年人日间照料中心、农村幸福院，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5.院校设立养老服务相关专业奖补项目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奖补对象：本省行政区域范围内经有关主管部门批准设立养老服务相关专业，能够开展正常教学的高等院校、市级及以上中等职业学校（含技工院校）。</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连续招生两年以上且每年招收养老服务相关专业学生不少于20人，能够开展正常教学活动。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师资、实验实训设施符合有关主管部门设立养老服务相关专业有关规定，有科学、规范、完整的专业人才培养方案，有保障开设本专业可持续发展的规划和相关制度。</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奖补标准：对符合条件的高等院校、中等职业学校（含技工院校），省级对每处分别给予 100 万元、80万元一次性奖补。</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6.大中专毕业生入职养老服务一次性奖补项目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在养老机构和社区养老服务机构从事护理、医疗、康复、社工一线岗位工作，持有本科及以上、专科（高职）、中职（技工院校）毕业证书的专职养老服务人员，事业单位在编人员不在奖补范围内。</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申请条件：应同时符合以下条件：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与养老服务机构签订5年以上劳动合同，且从事养老护理、医疗、康复、社工一线岗位工作满1年。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持有国家教育（人力资源社会保障）主管部门认可的高等院校、中等职业技术学校、技工院校毕业证书。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全日制院校毕业3年内。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养老机构按规定为申请人缴纳社会保险满1年。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7.养老护理员职业技能等级奖补项目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奖补对象：2021年1月1日以来，本省行政区域范围内养老机构和社区养老服务机构中取得职业技能等级三级/高级工、二级/技师、一级/高级技师等级的养老护理员，事业单位在编人员不在奖补范围内。</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所在养老服务机构经当地民政部门备案（许可）。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持有养老护理员职业技能等级证书（经人力资源社会保障部门确定的技能等级评价机构评价，证书编码全国可查询）,且从事与证书相对应工作。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在养老服务机构中从事养老护理员工作两年以上。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方式：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p>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三、办理地点及联系电话</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办理地址：</w:t>
      </w:r>
      <w:r>
        <w:rPr>
          <w:rFonts w:hint="eastAsia" w:ascii="仿宋_GB2312" w:hAnsi="微软雅黑" w:eastAsia="仿宋_GB2312"/>
          <w:bCs/>
          <w:sz w:val="32"/>
          <w:szCs w:val="32"/>
          <w:lang w:eastAsia="zh-CN"/>
        </w:rPr>
        <w:t>周村区新建东路</w:t>
      </w:r>
      <w:r>
        <w:rPr>
          <w:rFonts w:hint="eastAsia" w:ascii="仿宋_GB2312" w:hAnsi="微软雅黑" w:eastAsia="仿宋_GB2312"/>
          <w:bCs/>
          <w:sz w:val="32"/>
          <w:szCs w:val="32"/>
          <w:lang w:val="en-US" w:eastAsia="zh-CN"/>
        </w:rPr>
        <w:t>201号5楼513室</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联系电话：</w:t>
      </w:r>
      <w:r>
        <w:rPr>
          <w:rFonts w:hint="eastAsia" w:ascii="仿宋_GB2312" w:hAnsi="微软雅黑" w:eastAsia="仿宋_GB2312"/>
          <w:bCs/>
          <w:sz w:val="32"/>
          <w:szCs w:val="32"/>
          <w:lang w:val="en-US" w:eastAsia="zh-CN"/>
        </w:rPr>
        <w:t>0533-7874170</w:t>
      </w:r>
      <w:bookmarkStart w:id="0" w:name="_GoBack"/>
      <w:bookmarkEnd w:id="0"/>
    </w:p>
    <w:p>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四、办理时间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w:t>
      </w:r>
      <w:r>
        <w:rPr>
          <w:rFonts w:hint="eastAsia" w:ascii="仿宋_GB2312" w:hAnsi="微软雅黑" w:eastAsia="仿宋_GB2312"/>
          <w:sz w:val="32"/>
          <w:szCs w:val="32"/>
          <w:lang w:eastAsia="zh-CN"/>
        </w:rPr>
        <w:t>（节假日除外）</w:t>
      </w:r>
      <w:r>
        <w:rPr>
          <w:rFonts w:hint="eastAsia" w:ascii="仿宋_GB2312" w:hAnsi="微软雅黑" w:eastAsia="仿宋_GB2312"/>
          <w:sz w:val="32"/>
          <w:szCs w:val="32"/>
        </w:rPr>
        <w:t>：上午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0-1</w:t>
      </w:r>
      <w:r>
        <w:rPr>
          <w:rFonts w:hint="eastAsia" w:ascii="仿宋_GB2312" w:hAnsi="微软雅黑" w:eastAsia="仿宋_GB2312"/>
          <w:sz w:val="32"/>
          <w:szCs w:val="32"/>
          <w:lang w:val="en-US" w:eastAsia="zh-CN"/>
        </w:rPr>
        <w:t>1:50</w:t>
      </w:r>
    </w:p>
    <w:p>
      <w:pPr>
        <w:pStyle w:val="2"/>
        <w:shd w:val="clear" w:color="auto" w:fill="FFFFFF"/>
        <w:spacing w:before="0" w:beforeAutospacing="0" w:after="0" w:afterAutospacing="0"/>
        <w:ind w:firstLine="4563" w:firstLineChars="1426"/>
        <w:jc w:val="both"/>
        <w:rPr>
          <w:rFonts w:ascii="仿宋_GB2312" w:hAnsi="微软雅黑" w:eastAsia="仿宋_GB2312"/>
          <w:sz w:val="32"/>
          <w:szCs w:val="32"/>
        </w:rPr>
      </w:pPr>
      <w:r>
        <w:rPr>
          <w:rFonts w:hint="eastAsia" w:ascii="仿宋_GB2312" w:hAnsi="微软雅黑" w:eastAsia="仿宋_GB2312"/>
          <w:sz w:val="32"/>
          <w:szCs w:val="32"/>
        </w:rPr>
        <w:t>下午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5:00</w:t>
      </w:r>
    </w:p>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3F900F-1CC3-470A-AAE0-21C17953B3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C7BDA82-1B10-4536-A94C-D1E2E514439C}"/>
  </w:font>
  <w:font w:name="仿宋_GB2312">
    <w:panose1 w:val="02010609030101010101"/>
    <w:charset w:val="86"/>
    <w:family w:val="auto"/>
    <w:pitch w:val="default"/>
    <w:sig w:usb0="00000001" w:usb1="080E0000" w:usb2="00000000" w:usb3="00000000" w:csb0="00040000" w:csb1="00000000"/>
    <w:embedRegular r:id="rId3" w:fontKey="{6B8F89B9-3CFA-450B-B7B8-6C04C7A9BC63}"/>
  </w:font>
  <w:font w:name="楷体_GB2312">
    <w:panose1 w:val="02010609030101010101"/>
    <w:charset w:val="86"/>
    <w:family w:val="auto"/>
    <w:pitch w:val="default"/>
    <w:sig w:usb0="00000001" w:usb1="080E0000" w:usb2="00000000" w:usb3="00000000" w:csb0="00040000" w:csb1="00000000"/>
    <w:embedRegular r:id="rId4" w:fontKey="{F738DD4E-848A-4DB9-B47D-FBC59F011B4B}"/>
  </w:font>
  <w:font w:name="微软雅黑">
    <w:panose1 w:val="020B0503020204020204"/>
    <w:charset w:val="86"/>
    <w:family w:val="auto"/>
    <w:pitch w:val="default"/>
    <w:sig w:usb0="80000287" w:usb1="280F3C52" w:usb2="00000016" w:usb3="00000000" w:csb0="0004001F" w:csb1="00000000"/>
    <w:embedRegular r:id="rId5" w:fontKey="{148D45E4-39B5-43D5-AA7D-92E2168615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6A420BD"/>
    <w:rsid w:val="0865202A"/>
    <w:rsid w:val="0BB4198C"/>
    <w:rsid w:val="12825733"/>
    <w:rsid w:val="2501375A"/>
    <w:rsid w:val="2B8F11D7"/>
    <w:rsid w:val="319F0FDC"/>
    <w:rsid w:val="3293759A"/>
    <w:rsid w:val="3F0B52C3"/>
    <w:rsid w:val="4B103EFE"/>
    <w:rsid w:val="509E1DC6"/>
    <w:rsid w:val="56EE0C86"/>
    <w:rsid w:val="5EDA66BF"/>
    <w:rsid w:val="62CC23CE"/>
    <w:rsid w:val="630930CF"/>
    <w:rsid w:val="6555517C"/>
    <w:rsid w:val="76A4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2714</Words>
  <Characters>2863</Characters>
  <Lines>0</Lines>
  <Paragraphs>0</Paragraphs>
  <TotalTime>0</TotalTime>
  <ScaleCrop>false</ScaleCrop>
  <LinksUpToDate>false</LinksUpToDate>
  <CharactersWithSpaces>2905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2022-11-20T01:39:00Z</dcterms:created>
  <dc:creator>yun</dc:creator>
  <cp:lastModifiedBy>yun</cp:lastModifiedBy>
  <dcterms:modified xsi:type="dcterms:W3CDTF">2023-10-27T07:01:32Z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12AB5B43B22E4F2D91FDFCCA7F2D09E5</vt:lpwstr>
  </property>
</Properties>
</file>