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firstLine="0"/>
        <w:jc w:val="center"/>
        <w:rPr>
          <w:rFonts w:hint="eastAsia" w:ascii="仿宋_GB2312" w:hAnsi="仿宋_GB2312" w:eastAsia="仿宋_GB2312" w:cs="仿宋_GB2312"/>
          <w:b/>
          <w:bCs/>
          <w:i w:val="0"/>
          <w:iCs w:val="0"/>
          <w:caps w:val="0"/>
          <w:color w:val="343434"/>
          <w:spacing w:val="0"/>
          <w:sz w:val="32"/>
          <w:szCs w:val="32"/>
        </w:rPr>
      </w:pPr>
      <w:bookmarkStart w:id="0" w:name="_GoBack"/>
      <w:r>
        <w:rPr>
          <w:rFonts w:hint="eastAsia" w:ascii="仿宋_GB2312" w:hAnsi="仿宋_GB2312" w:eastAsia="仿宋_GB2312" w:cs="仿宋_GB2312"/>
          <w:b/>
          <w:bCs/>
          <w:i w:val="0"/>
          <w:iCs w:val="0"/>
          <w:caps w:val="0"/>
          <w:color w:val="343434"/>
          <w:spacing w:val="0"/>
          <w:kern w:val="0"/>
          <w:sz w:val="32"/>
          <w:szCs w:val="32"/>
          <w:bdr w:val="none" w:color="auto" w:sz="0" w:space="0"/>
          <w:lang w:val="en-US" w:eastAsia="zh-CN" w:bidi="ar"/>
        </w:rPr>
        <w:t>国务院关于进一步加强和改进最低生活保障工作的意见</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right="0" w:firstLine="0"/>
        <w:jc w:val="left"/>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right="0" w:firstLine="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各省、自治区、直辖市人民政府，国务院各部委、各直属机构：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一、总体要求和基本原则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right="0" w:firstLine="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right="0" w:firstLine="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（二）基本原则。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坚持应保尽保。把保障困难群众基本生活放到更加突出的位置，落实政府责任，加大政府投入，加强部门协作，强化监督问责，确保把所有符合条件的困难群众全部纳入最低生活保障范围。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坚持公平公正。健全最低生活保障法规制度，完善程序规定，畅通城乡居民的参与渠道，加大政策信息公开力度，做到审批过程公开透明，审批结果公平公正。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坚持动态管理。采取最低生活保障对象定期报告和管理审批机关分类复核相结合等方法，加强对最低生活保障对象的日常管理和服务，切实做到保障对象有进有出、补助水平有升有降。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坚持统筹兼顾。统筹城乡、区域和经济社会发展，做到最低生活保障标准与经济社会发展水平相适应，最低生活保障制度与其他社会保障制度相衔接，有效保障困难群众基本生活。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二、加强和改进最低生活保障工作的政策措施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（一）完善最低生活保障对象认定条件。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（二）规范最低生活保障审核审批程序。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规范发放程序。各地要全面推行最低生活保障金社会化发放，按照财政国库管理制度将最低生活保障金直接支付到保障家庭账户，确保最低生活保障金足额、及时发放到位。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（三）建立救助申请家庭经济状况核对机制。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（四）加强最低生活保障对象动态管理。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三无人员”，可每年核查一次；对于短期内收入变化不大的家庭，可每半年核查一次；对于收入来源不固定、成员有劳动能力和劳动条件的最低生活保障家庭，原则上实行城市按月、农村按季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（五）健全最低生活保障工作监管机制。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（六）建立健全投诉举报核查制度。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（七）加强最低生活保障与其他社会救助制度的有效衔接。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三、强化工作保障，确保各项政策措施落到实处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一）加强能力建设。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二）加强经费保障。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三）加强政策宣传。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四、加强组织领导，进一步落实管理责任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一）加强组织领导。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二）落实管理责任。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三）强化责任追究。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640" w:firstLineChars="200"/>
        <w:jc w:val="left"/>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5760" w:firstLineChars="18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国务院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tLeast"/>
        <w:ind w:left="0" w:leftChars="0" w:right="0" w:firstLine="5120" w:firstLineChars="16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lang w:val="en-US" w:eastAsia="zh-CN" w:bidi="ar"/>
        </w:rPr>
        <w:t>2012年9月1日</w:t>
      </w:r>
    </w:p>
    <w:p>
      <w:pPr>
        <w:keepNext w:val="0"/>
        <w:keepLines w:val="0"/>
        <w:pageBreakBefore w:val="0"/>
        <w:kinsoku/>
        <w:wordWrap/>
        <w:overflowPunct/>
        <w:topLinePunct w:val="0"/>
        <w:autoSpaceDE/>
        <w:autoSpaceDN/>
        <w:bidi w:val="0"/>
        <w:adjustRightInd/>
        <w:snapToGrid/>
        <w:ind w:left="0" w:leftChars="0"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45886C63"/>
    <w:rsid w:val="4588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2022-12-09T01:13:00Z</dcterms:created>
  <dc:creator>青国公</dc:creator>
  <cp:lastModifiedBy>青国公</cp:lastModifiedBy>
  <dcterms:modified xsi:type="dcterms:W3CDTF">2022-12-09T01:16:31Z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1F78699EB1694E0E8E4B313F2BC910DB</vt:lpwstr>
  </property>
</Properties>
</file>