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both"/>
        <w:textAlignment w:val="auto"/>
        <w:outlineLvl w:val="9"/>
        <w:rPr>
          <w:rFonts w:hint="eastAsia" w:ascii="Times New Roman" w:hAnsi="Times New Roman" w:eastAsia="仿宋_GB2312" w:cs="Times New Roman"/>
          <w:b w:val="0"/>
          <w:bCs w:val="0"/>
          <w:color w:val="auto"/>
          <w:sz w:val="34"/>
          <w:szCs w:val="34"/>
        </w:rPr>
      </w:pPr>
      <w:r>
        <w:rPr>
          <w:rFonts w:hint="eastAsia" w:ascii="Times New Roman" w:hAnsi="Times New Roman" w:eastAsia="仿宋_GB2312" w:cs="Times New Roman"/>
          <w:b w:val="0"/>
          <w:bCs w:val="0"/>
          <w:color w:val="auto"/>
          <w:sz w:val="34"/>
          <w:szCs w:val="34"/>
        </w:rPr>
        <w:t>国务院关于进一步健全特困人员救助供养制度的意见</w:t>
      </w:r>
      <w:r>
        <w:rPr>
          <w:rFonts w:hint="eastAsia" w:ascii="Times New Roman" w:hAnsi="Times New Roman" w:eastAsia="仿宋_GB2312" w:cs="Times New Roman"/>
          <w:b w:val="0"/>
          <w:bCs w:val="0"/>
          <w:color w:val="auto"/>
          <w:sz w:val="34"/>
          <w:szCs w:val="34"/>
        </w:rPr>
        <w:br w:type="textWrapping"/>
      </w:r>
      <w:bookmarkStart w:id="0" w:name="_GoBack"/>
      <w:r>
        <w:rPr>
          <w:rFonts w:hint="default" w:ascii="Times New Roman" w:hAnsi="Times New Roman" w:eastAsia="仿宋_GB2312" w:cs="Times New Roman"/>
          <w:b w:val="0"/>
          <w:bCs w:val="0"/>
          <w:color w:val="auto"/>
          <w:sz w:val="34"/>
          <w:szCs w:val="34"/>
        </w:rPr>
        <w:t>国发〔2016〕14号</w:t>
      </w:r>
      <w:bookmarkEnd w:id="0"/>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both"/>
        <w:textAlignment w:val="auto"/>
        <w:outlineLvl w:val="9"/>
        <w:rPr>
          <w:rFonts w:hint="eastAsia" w:ascii="Times New Roman" w:hAnsi="Times New Roman" w:eastAsia="仿宋_GB2312" w:cs="Times New Roman"/>
          <w:b w:val="0"/>
          <w:bCs w:val="0"/>
          <w:color w:val="auto"/>
          <w:sz w:val="34"/>
          <w:szCs w:val="34"/>
        </w:rPr>
      </w:pPr>
      <w:r>
        <w:rPr>
          <w:rFonts w:hint="eastAsia" w:ascii="Times New Roman" w:hAnsi="Times New Roman" w:eastAsia="仿宋_GB2312" w:cs="Times New Roman"/>
          <w:b w:val="0"/>
          <w:bCs w:val="0"/>
          <w:color w:val="auto"/>
          <w:sz w:val="34"/>
          <w:szCs w:val="34"/>
        </w:rPr>
        <w:t>各省、自治区、直辖市人民政府，国务院各部委、各直属机构：</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保障城乡特困人员基本生活，是完善社会救助体系、编密织牢民生安全网的重要举措，是坚持共享发展、保障和改善民生的应有之义，也是打赢脱贫攻坚战、全面建成小康社会的必然要求。长期以来，在党和政府的高度重视下，我国先后建立起农村五保供养、城市“三无”人员救济和福利院供养制度，城乡特困人员基本生活得到了保障。2014年，国务院公布施行了《社会救助暂行办法》，将城乡“三无”人员保障制度统一为特困人员供养制度，我国城乡特困人员保障工作进入新的发展阶段。为解决城乡发展不平衡、相关政策不衔接、工作机制不健全、资金渠道不通畅、管理服务不规范等问题，切实保障特困人员基本生活，根据《社会救助暂行办法》、《农村五保供养工作条例》，现就进一步健全特困人员救助供养制度提出以下意见。</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一、总体要求和基本原则</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（一）总体要求。</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以党的十八大和十八届三中、四中、五中全会精神为指导，按照党中央、国务院决策部署，以解决城乡特困人员突出困难、满足城乡特困人员基本需求为目标，坚持政府主导，发挥社会力量作用，在全国建立起城乡统筹、政策衔接、运行规范、与经济社会发展水平相适应的特困人员救助供养制度，将符合条件的特困人员全部纳入救助供养范围，切实维护他们的基本生活权益。</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（二）基本原则。</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坚持托底供养。强化政府托底保障职责，为城乡特困人员提供基本生活、照料服务、疾病治疗和殡葬服务等方面保障，做到应救尽救、应养尽养。</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坚持属地管理。县级以上地方人民政府统筹做好本行政区域内特困人员救助供养工作，分级管理，落实责任，强化管理服务和资金保障，为特困人员提供规范、适度的救助供养服务。</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坚持城乡统筹。健全城乡特困人员救助供养工作管理体制，在政策目标、资金筹集、对象范围、供养标准、经办服务等方面实现城乡统筹，确保城乡特困人员都能获得救助供养服务。</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坚持适度保障。立足经济社会发展水平，科学合理制定救助供养标准，加强与其他社会保障制度衔接，实现特困人员救助供养制度保基本、全覆盖、可持续。</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坚持社会参与。鼓励、引导、支持社会力量通过承接政府购买服务、慈善捐赠以及提供志愿服务等方式，为特困人员提供服务和帮扶，形成全社会关心、支持、参与特困人员救助供养工作的良好氛围。</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二、制度内容</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（一）对象范围。</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城乡老年人、残疾人以及未满16周岁的未成年人，同时具备以下条件的，应当依法纳入特困人员救助供养范围：</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无劳动能力、无生活来源、无法定赡养抚养扶养义务人或者其法定义务人无履行义务能力。</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具体认定办法由民政部负责制定。</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（二）办理程序。</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申请程序。申请特困人员救助供养，由本人向户籍所在地的乡镇人民政府（街道办事处）提出书面申请，按规定提交相关材料，书面说明劳动能力、生活来源以及赡养、抚养、扶养情况。本人申请有困难的，可以委托村（居）民委员会或者他人代为提出申请。</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乡镇人民政府（街道办事处）以及村（居）民委员会应当及时了解掌握辖区内居民的生活情况，发现符合特困人员救助供养条件的人员，应当告知其救助供养政策，对无民事行为能力等无法自主申请的，应当主动帮助其申请。</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审核程序。乡镇人民政府（街道办事处）应当通过入户调查、邻里访问、信函索证、群众评议、信息核查等方式，对申请人的收入状况、财产状况以及其他证明材料等进行调查核实，于20个工作日内提出初审意见，在申请人所在村（社区）公示后，报县级人民政府民政部门审批。申请人及有关单位、组织或者个人应当配合调查，如实提供有关情况。</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审批程序。县级人民政府民政部门应当全面审查乡镇人民政府（街道办事处）上报的调查材料和审核意见，并随机抽查核实，于20个工作日内作出审批决定。对符合条件的申请予以批准，并在申请人所在村（社区）公布；对不符合条件的申请不予批准，并书面向申请人说明理由。</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终止程序。特困人员不再符合救助供养条件的，村（居）民委员会或者供养服务机构应当及时告知乡镇人民政府（街道办事处），由乡镇人民政府（街道办事处）审核并报县级人民政府民政部门核准后，终止救助供养并予以公示。</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县级人民政府民政部门、乡镇人民政府（街道办事处）在工作中发现特困人员不再符合救助供养条件的，应当及时办理终止救助供养手续。特困人员中的未成年人，满16周岁后仍在接受义务教育或在普通高中、中等职业学校就读的，可继续享有救助供养待遇。</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（三）救助供养内容。</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特困人员救助供养主要包括以下内容：</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提供基本生活条件。包括供给粮油、副食品、生活用燃料、服装、被褥等日常生活用品和零用钱。可以通过实物或者现金的方式予以保障。</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对生活不能自理的给予照料。包括日常生活、住院期间的必要照料等基本服务。</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提供疾病治疗。全额资助参加城乡居民基本医疗保险的个人缴费部分。医疗费用按照基本医疗保险、大病保险和医疗救助等医疗保障制度规定支付后仍有不足的，由救助供养经费予以支持。</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办理丧葬事宜。特困人员死亡后的丧葬事宜，集中供养的由供养服务机构办理，分散供养的由乡镇人民政府（街道办事处）委托村（居）民委员会或者其亲属办理。丧葬费用从救助供养经费中支出。</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对符合规定标准的住房困难的分散供养特困人员，通过配租公共租赁住房、发放住房租赁补贴、农村危房改造等方式给予住房救助。对在义务教育阶段就学的特困人员，给予教育救助；对在高中教育（含中等职业教育）、普通高等教育阶段就学的特困人员，根据实际情况给予适当教育救助。</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（四）救助供养标准。</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特困人员救助供养标准包括基本生活标准和照料护理标准。</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基本生活标准应当满足特困人员基本生活所需。照料护理标准应当根据特困人员生活自理能力和服务需求分类制定，体现差异性。</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特困人员救助供养标准由省、自治区、直辖市或者设区的市级人民政府综合考虑地区、城乡差异等因素确定、公布，并根据当地经济社会发展水平和物价变化情况适时调整。民政部、财政部要加强对特困人员救助供养标准制定工作的指导。</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（五）救助供养形式。</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特困人员救助供养形式分为在家分散供养和在当地的供养服务机构集中供养。具备生活自理能力的，鼓励其在家分散供养；完全或者部分丧失生活自理能力的，优先为其提供集中供养服务。</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分散供养。对分散供养的特困人员，经本人同意，乡镇人民政府（街道办事处）可委托其亲友或村（居）民委员会、供养服务机构、社会组织、社会工作服务机构等提供日常看护、生活照料、住院陪护等服务。有条件的地方，可为分散供养的特困人员提供社区日间照料服务。</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集中供养。对需要集中供养的特困人员，由县级人民政府民政部门按照便于管理的原则，就近安排到相应的供养服务机构；未满16周岁的，安置到儿童福利机构。</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供养服务机构管理。供养服务机构应当依法办理法人登记，建立健全内部管理、安全管理和服务管理等制度，为特困人员提供日常生活照料、送医治疗等基本救助供养服务。有条件的经卫生计生行政部门批准可设立医务室或者护理站。供养服务机构应当根据服务对象人数和照料护理需求，按照一定比例配备工作人员，加强社会工作岗位开发设置，合理配备使用社会工作者。</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三、保障措施</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（一）加强组织领导。</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各地要将特困人员救助供养工作列入政府重要议事日程，将供养服务机构建设纳入经济社会发展总体规划，强化其托底保障功能，进一步完善工作协调机制，切实担负起资金投入、工作条件保障和监督检查责任。民政部门要切实履行主管部门职责，发挥好统筹协调作用，重点加强特困人员救助供养工作日常管理、能力建设，推动相关标准体系完善和信息化建设，实行特困人员“一人一档案”，提升管理服务水平；加强对特困人员救助供养等社会救助工作的绩效评价，将结果送组织部门，作为对地方政府领导班子和有关领导干部综合考核评价的重要参考。卫生计生、教育、住房城乡建设、人力资源社会保障等其他社会救助管理部门要依据职责分工，积极配合民政部门做好特困人员救助供养相关工作，实现社会救助信息互联互通、资源共享，形成齐抓共管、整体推进的工作格局。发展改革部门要将特困人员救助供养纳入相关专项规划，支持供养服务设施建设。财政部门要做好相关资金保障工作。</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（二）做好制度衔接。</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各地要统筹做好特困人员救助供养制度与城乡居民基本养老保险、基本医疗保障、最低生活保障、孤儿基本生活保障、社会福利等制度的有效衔接。符合相关条件的特困人员，可同时享受城乡居民基本养老保险、基本医疗保险等社会保险和高龄津贴等社会福利待遇。纳入特困人员救助供养范围的，不再适用最低生活保障政策。纳入孤儿基本生活保障范围的，不再适用特困人员救助供养政策。纳入特困人员救助供养范围的残疾人，不再享受困难残疾人生活补贴和重度残疾人护理补贴。</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（三）强化资金保障。</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县级以上地方人民政府要将政府设立的供养服务机构运转费用、特困人员救助供养所需资金列入财政预算。省级人民政府要优化财政支出结构，统筹安排特困人员救助供养资金。中央财政给予适当补助，并重点向特困人员救助供养任务重、财政困难、工作成效突出的地区倾斜。有农村集体经营等收入的地方，可从中安排资金用于特困人员救助供养工作。各地要完善救助供养资金发放机制，确保资金及时足额发放到位。</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（四）加强监督管理。</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各地区、各有关部门要将特困人员救助供养制度落实情况作为督查督办的重点内容，定期组织开展专项检查。加强对特困人员救助供养资金管理使用情况的监督检查，严肃查处挤占、挪用、虚报、冒领等违纪违法行为。充分发挥社会监督作用，对公众和媒体发现揭露的问题，要及时查处并公布处理结果。完善责任追究制度，加大行政问责力度，对因责任不落实造成严重后果的单位和个人，要依纪依法追究责任。</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（五）鼓励社会参与。</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鼓励群众团体、公益慈善等社会组织、社会工作服务机构和企事业单位、志愿者等社会力量参与特困人员救助供养工作。鼓励运用政府和社会资本合作（PPP）模式，采取公建民营、民办公助等方式，支持供养服务机构建设。加大政府购买服务和项目支持力度，落实各项财政补贴、税收优惠和收费减免等政策，引导、激励公益慈善组织、社会工作服务机构，以及社会力量举办的养老、医疗等服务机构，为特困人员提供专业化个性化服务。</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（六）加强政策宣传。</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各地区、各有关部门要采用群众喜闻乐见的形式，大力宣传特困人员救助供养政策，不断提高社会知晓度，积极营造全社会关心关爱特困人员的良好氛围。</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民政部、财政部要加强对本意见执行情况的监督检查，重大情况及时向国务院报告。国务院将适时组织专项督查。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both"/>
        <w:textAlignment w:val="auto"/>
        <w:outlineLvl w:val="9"/>
        <w:rPr>
          <w:rFonts w:hint="eastAsia" w:ascii="Times New Roman" w:hAnsi="Times New Roman" w:eastAsia="仿宋_GB2312" w:cs="Times New Roman"/>
          <w:b w:val="0"/>
          <w:bCs w:val="0"/>
          <w:color w:val="auto"/>
          <w:sz w:val="34"/>
          <w:szCs w:val="34"/>
        </w:rPr>
      </w:pPr>
      <w:r>
        <w:rPr>
          <w:rFonts w:hint="eastAsia" w:ascii="Times New Roman" w:hAnsi="Times New Roman" w:eastAsia="仿宋_GB2312" w:cs="Times New Roman"/>
          <w:b w:val="0"/>
          <w:bCs w:val="0"/>
          <w:color w:val="auto"/>
          <w:sz w:val="34"/>
          <w:szCs w:val="34"/>
        </w:rPr>
        <w:t>　　　　　　　　　　　　　　　　　　　　　　　　　　　　　　 国务院</w:t>
      </w:r>
      <w:r>
        <w:rPr>
          <w:rFonts w:hint="eastAsia" w:ascii="Times New Roman" w:hAnsi="Times New Roman" w:eastAsia="仿宋_GB2312" w:cs="Times New Roman"/>
          <w:b w:val="0"/>
          <w:bCs w:val="0"/>
          <w:color w:val="auto"/>
          <w:sz w:val="34"/>
          <w:szCs w:val="34"/>
        </w:rPr>
        <w:br w:type="textWrapping"/>
      </w:r>
      <w:r>
        <w:rPr>
          <w:rFonts w:hint="eastAsia" w:ascii="Times New Roman" w:hAnsi="Times New Roman" w:eastAsia="仿宋_GB2312" w:cs="Times New Roman"/>
          <w:b w:val="0"/>
          <w:bCs w:val="0"/>
          <w:color w:val="auto"/>
          <w:sz w:val="34"/>
          <w:szCs w:val="34"/>
        </w:rPr>
        <w:t>　　　　　　　　　　　　　　　　　　　　　　　　　　　　　2016年2月10日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both"/>
        <w:textAlignment w:val="auto"/>
        <w:outlineLvl w:val="9"/>
        <w:rPr>
          <w:rFonts w:hint="eastAsia" w:ascii="Times New Roman" w:hAnsi="Times New Roman" w:eastAsia="仿宋_GB2312" w:cs="Times New Roman"/>
          <w:b w:val="0"/>
          <w:bCs w:val="0"/>
          <w:color w:val="auto"/>
          <w:sz w:val="34"/>
          <w:szCs w:val="3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GU0ZmFiOGU3OThjZmNlMzgzODU3OWI1MDJjMTIifQ=="/>
  </w:docVars>
  <w:rsids>
    <w:rsidRoot w:val="2A0D7761"/>
    <w:rsid w:val="2A0D7761"/>
    <w:rsid w:val="78292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4223</Words>
  <Characters>4241</Characters>
  <Lines>0</Lines>
  <Paragraphs>0</Paragraphs>
  <TotalTime>2</TotalTime>
  <ScaleCrop>false</ScaleCrop>
  <LinksUpToDate>false</LinksUpToDate>
  <CharactersWithSpaces>4405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2022-05-31T02:46:00Z</dcterms:created>
  <dc:creator>晓月清晖</dc:creator>
  <cp:lastModifiedBy>青国公</cp:lastModifiedBy>
  <dcterms:modified xsi:type="dcterms:W3CDTF">2022-12-09T01:44:37Z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47D1DF7F7AD74B30A7E921D641E7455C</vt:lpwstr>
  </property>
</Properties>
</file>